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contextualSpacing/>
        <w:rPr>
          <w:rStyle w:val="9"/>
          <w:rFonts w:ascii="黑体" w:hAnsi="黑体" w:eastAsia="黑体" w:cs="宋体"/>
          <w:bCs/>
          <w:sz w:val="32"/>
          <w:szCs w:val="32"/>
          <w:u w:val="none"/>
        </w:rPr>
      </w:pPr>
      <w:r>
        <w:rPr>
          <w:rStyle w:val="9"/>
          <w:rFonts w:hint="eastAsia" w:ascii="黑体" w:hAnsi="黑体" w:eastAsia="黑体" w:cs="宋体"/>
          <w:bCs/>
          <w:sz w:val="32"/>
          <w:szCs w:val="32"/>
          <w:u w:val="none"/>
        </w:rPr>
        <w:t>附件</w:t>
      </w:r>
    </w:p>
    <w:p>
      <w:pPr>
        <w:spacing w:line="560" w:lineRule="exact"/>
        <w:contextualSpacing/>
        <w:jc w:val="center"/>
        <w:rPr>
          <w:rStyle w:val="9"/>
          <w:rFonts w:ascii="方正小标宋简体" w:hAnsi="黑体" w:eastAsia="方正小标宋简体" w:cs="宋体"/>
          <w:bCs/>
          <w:sz w:val="36"/>
          <w:szCs w:val="36"/>
          <w:u w:val="none"/>
        </w:rPr>
      </w:pPr>
      <w:bookmarkStart w:id="1" w:name="_GoBack"/>
      <w:r>
        <w:rPr>
          <w:rStyle w:val="9"/>
          <w:rFonts w:hint="eastAsia" w:ascii="方正小标宋简体" w:hAnsi="黑体" w:eastAsia="方正小标宋简体" w:cs="宋体"/>
          <w:bCs/>
          <w:sz w:val="36"/>
          <w:szCs w:val="36"/>
          <w:u w:val="none"/>
        </w:rPr>
        <w:t>合肥工业大学2021年党政工作要点</w:t>
      </w:r>
    </w:p>
    <w:bookmarkEnd w:id="1"/>
    <w:p>
      <w:pPr>
        <w:spacing w:line="320" w:lineRule="exact"/>
        <w:ind w:firstLine="640" w:firstLineChars="200"/>
        <w:contextualSpacing/>
        <w:rPr>
          <w:rFonts w:ascii="仿宋_GB2312" w:hAnsi="黑体" w:eastAsia="仿宋_GB2312" w:cs="宋体"/>
          <w:sz w:val="32"/>
          <w:szCs w:val="32"/>
        </w:rPr>
      </w:pPr>
    </w:p>
    <w:p>
      <w:pPr>
        <w:spacing w:line="560" w:lineRule="exact"/>
        <w:ind w:firstLine="640" w:firstLineChars="200"/>
        <w:contextualSpacing/>
        <w:rPr>
          <w:rFonts w:ascii="仿宋_GB2312" w:hAnsi="宋体" w:eastAsia="仿宋_GB2312" w:cs="宋体"/>
          <w:sz w:val="32"/>
          <w:szCs w:val="32"/>
        </w:rPr>
      </w:pPr>
      <w:r>
        <w:rPr>
          <w:rFonts w:hint="eastAsia" w:ascii="黑体" w:hAnsi="黑体" w:eastAsia="黑体" w:cs="宋体"/>
          <w:sz w:val="32"/>
          <w:szCs w:val="32"/>
        </w:rPr>
        <w:t>2021年学校工作的总体要求是：</w:t>
      </w:r>
      <w:r>
        <w:rPr>
          <w:rFonts w:hint="eastAsia" w:ascii="仿宋_GB2312" w:hAnsi="宋体" w:eastAsia="仿宋_GB2312" w:cs="宋体"/>
          <w:sz w:val="32"/>
          <w:szCs w:val="32"/>
        </w:rPr>
        <w:t>以习近平新时代中国特色社会主义思想为指导，深入学习贯彻党的十九大和十九届二中、三中、四中、五中全会精神，贯彻落实习近平总书记关于教育的重要论述及全国教育大会精神，增强“四个意识”、坚定“四个自信”、做到“两个维护”，坚持社会主义办学方向，坚持党对学校工作的全面领导，坚持立德树人根本任务，坚持高质量内涵式发展，深入实施“十四五”规划，确保开好局、起好步，加快推进国际知名的研究型高水平大学和一批世界一流学科建设，以优异成绩庆祝建党100周年。</w:t>
      </w:r>
    </w:p>
    <w:p>
      <w:pPr>
        <w:spacing w:line="560" w:lineRule="exact"/>
        <w:ind w:firstLine="640" w:firstLineChars="200"/>
        <w:contextualSpacing/>
        <w:outlineLvl w:val="0"/>
        <w:rPr>
          <w:rStyle w:val="9"/>
          <w:rFonts w:ascii="仿宋_GB2312" w:hAnsi="黑体" w:eastAsia="仿宋_GB2312"/>
          <w:bCs/>
          <w:sz w:val="32"/>
          <w:szCs w:val="32"/>
          <w:u w:val="none"/>
        </w:rPr>
      </w:pPr>
      <w:r>
        <w:rPr>
          <w:rFonts w:hint="eastAsia" w:ascii="黑体" w:eastAsia="黑体"/>
          <w:smallCaps/>
          <w:sz w:val="32"/>
          <w:szCs w:val="32"/>
        </w:rPr>
        <w:t>一、坚持党对学校工作的全面领导</w:t>
      </w:r>
    </w:p>
    <w:p>
      <w:pPr>
        <w:adjustRightInd w:val="0"/>
        <w:spacing w:line="560" w:lineRule="exact"/>
        <w:ind w:firstLine="643" w:firstLineChars="200"/>
        <w:contextualSpacing/>
        <w:rPr>
          <w:rFonts w:ascii="仿宋_GB2312" w:hAnsi="宋体" w:eastAsia="仿宋_GB2312" w:cs="宋体"/>
          <w:sz w:val="32"/>
          <w:szCs w:val="32"/>
        </w:rPr>
      </w:pPr>
      <w:r>
        <w:rPr>
          <w:rStyle w:val="9"/>
          <w:rFonts w:hint="eastAsia" w:ascii="仿宋_GB2312" w:hAnsi="宋体" w:eastAsia="仿宋_GB2312" w:cs="宋体"/>
          <w:b/>
          <w:bCs/>
          <w:sz w:val="32"/>
          <w:szCs w:val="32"/>
          <w:u w:val="none"/>
        </w:rPr>
        <w:t>坚持把政治建设摆在首位。</w:t>
      </w:r>
      <w:r>
        <w:rPr>
          <w:rFonts w:hint="eastAsia" w:ascii="仿宋_GB2312" w:hAnsi="宋体" w:eastAsia="仿宋_GB2312" w:cs="宋体"/>
          <w:sz w:val="32"/>
          <w:szCs w:val="32"/>
        </w:rPr>
        <w:t>始终把讲政治作为学校一切工作的生命线，永葆政治本色、站稳政治立场、把准政治方向，坚持以习近平新时代中国特色社会主义思想为指导，用党的最新理论成果武装头脑、教育师生，把“用‘四个意识’导航、用‘四个自信’强基、用‘两个维护’铸魂”作为学校党的建设总抓手，把党的领导贯穿办学治校、教书育人全过程，推动广大党员干部不断提高政治判断力、政治领悟力和政治执行力。坚持从历史和现实、理论和实践、国内和国际的结合上深刻把握“两个维护”的极端重要性，真正做到政治认同、思想认同、情感认同，在重大政治原则和大是大非问题上立场坚定、旗帜鲜明，始终与以习近平同志为核心的党中央保持高度一致。</w:t>
      </w:r>
    </w:p>
    <w:p>
      <w:pPr>
        <w:adjustRightInd w:val="0"/>
        <w:spacing w:line="560" w:lineRule="exact"/>
        <w:ind w:firstLine="643" w:firstLineChars="200"/>
        <w:contextualSpacing/>
        <w:rPr>
          <w:rFonts w:ascii="仿宋_GB2312" w:eastAsia="仿宋_GB2312" w:cs="宋体"/>
          <w:sz w:val="32"/>
          <w:szCs w:val="32"/>
        </w:rPr>
      </w:pPr>
      <w:r>
        <w:rPr>
          <w:rFonts w:hint="eastAsia" w:ascii="仿宋_GB2312" w:hAnsi="宋体" w:eastAsia="仿宋_GB2312" w:cs="宋体"/>
          <w:b/>
          <w:bCs/>
          <w:sz w:val="32"/>
          <w:szCs w:val="32"/>
        </w:rPr>
        <w:t>强化党的创新理论武装。</w:t>
      </w:r>
      <w:r>
        <w:rPr>
          <w:rFonts w:hint="eastAsia" w:ascii="仿宋_GB2312" w:hAnsi="宋体" w:eastAsia="仿宋_GB2312" w:cs="宋体"/>
          <w:sz w:val="32"/>
          <w:szCs w:val="32"/>
        </w:rPr>
        <w:t>巩固深化“不忘初心、牢记使命”主题教育成果，把学习贯彻习近平新时代中国特色社会主义思想作为首要任务，推动干部师生深刻把握党的百年奋斗史中蕴含的历史逻辑、理论逻辑和实践逻辑，筑牢听党话、跟党走的思想根基，做到学深悟透、融会贯通、真信笃行。狠抓理论学习制度落实，认真组织校院两级党委理论学习中心组学习和全校教职工双周三政治理论学习，深入推进习近平新时代中国特色社会主义思想入脑入心。继续推动重大理论宣传研究保障机制建设，充分发挥学校马克思主义理论等学科优势，深化习近平新时代中国特色社会主义思想原创性、学理化、学科化研究阐释。</w:t>
      </w:r>
    </w:p>
    <w:p>
      <w:pPr>
        <w:adjustRightInd w:val="0"/>
        <w:spacing w:line="560" w:lineRule="exact"/>
        <w:ind w:firstLine="643" w:firstLineChars="200"/>
        <w:contextualSpacing/>
        <w:rPr>
          <w:rFonts w:ascii="仿宋_GB2312" w:eastAsia="仿宋_GB2312" w:cs="Times New Roman"/>
          <w:b/>
          <w:bCs/>
          <w:sz w:val="32"/>
          <w:szCs w:val="32"/>
        </w:rPr>
      </w:pPr>
      <w:r>
        <w:rPr>
          <w:rFonts w:hint="eastAsia" w:ascii="仿宋_GB2312" w:hAnsi="宋体" w:eastAsia="仿宋_GB2312" w:cs="宋体"/>
          <w:b/>
          <w:bCs/>
          <w:sz w:val="32"/>
          <w:szCs w:val="32"/>
        </w:rPr>
        <w:t>牢牢把握意识形态工作的领导权管理权话语权。</w:t>
      </w:r>
      <w:r>
        <w:rPr>
          <w:rFonts w:hint="eastAsia" w:ascii="仿宋_GB2312" w:hAnsi="宋体" w:eastAsia="仿宋_GB2312" w:cs="宋体"/>
          <w:sz w:val="32"/>
          <w:szCs w:val="32"/>
        </w:rPr>
        <w:t>坚持马克思主义在意识形态领域的指导地位，制定《贯彻落实意识形态工作责任制实施细则》《意识形态工作责任追究办法（试行）》等文件，进一步健全责任链条，强化责任意识，压实主体责任，形成责任落实的闭环。狠抓课堂、教材、教师、社交平台等管理，优化“一会一报”过程管理。做好校园宗教渗透防范等工作</w:t>
      </w:r>
      <w:r>
        <w:rPr>
          <w:rStyle w:val="9"/>
          <w:rFonts w:hint="eastAsia" w:ascii="仿宋_GB2312" w:hAnsi="宋体" w:eastAsia="仿宋_GB2312" w:cs="宋体"/>
          <w:sz w:val="32"/>
          <w:szCs w:val="32"/>
          <w:u w:val="none"/>
        </w:rPr>
        <w:t>。</w:t>
      </w:r>
    </w:p>
    <w:p>
      <w:pPr>
        <w:spacing w:line="560" w:lineRule="exact"/>
        <w:ind w:firstLine="643" w:firstLineChars="200"/>
        <w:contextualSpacing/>
        <w:textAlignment w:val="baseline"/>
        <w:rPr>
          <w:rFonts w:ascii="仿宋_GB2312" w:hAnsi="Arial" w:eastAsia="仿宋_GB2312" w:cs="宋体"/>
          <w:sz w:val="32"/>
          <w:szCs w:val="32"/>
          <w:shd w:val="clear" w:color="auto" w:fill="FFFFFF"/>
        </w:rPr>
      </w:pPr>
      <w:r>
        <w:rPr>
          <w:rFonts w:hint="eastAsia" w:ascii="仿宋_GB2312" w:hAnsi="Arial" w:eastAsia="仿宋_GB2312" w:cs="宋体"/>
          <w:b/>
          <w:bCs/>
          <w:sz w:val="32"/>
          <w:szCs w:val="32"/>
          <w:shd w:val="clear" w:color="auto" w:fill="FFFFFF"/>
        </w:rPr>
        <w:t>深入开展建党100周年系列庆祝活动。</w:t>
      </w:r>
      <w:r>
        <w:rPr>
          <w:rFonts w:hint="eastAsia" w:ascii="仿宋_GB2312" w:hAnsi="Arial" w:eastAsia="仿宋_GB2312" w:cs="宋体"/>
          <w:sz w:val="32"/>
          <w:szCs w:val="32"/>
          <w:shd w:val="clear" w:color="auto" w:fill="FFFFFF"/>
        </w:rPr>
        <w:t>开展“两优一先”评选表彰和主题党日活动，组织党建示范创建和质量创优系列成果及课程思政建设成果展示。举办“工大红色记忆”主题展览，组织开展歌咏比赛、主题征文比赛、演讲比赛、书画大赛及“红色讲述”系列活动。大力开展“学党史、感党恩、跟党走”学习实践，开展党史知识竞赛、缅怀先烈、走访慰问、学习优秀共产党员、红色基地参观学习等活动。举办</w:t>
      </w:r>
      <w:r>
        <w:rPr>
          <w:rFonts w:hint="eastAsia" w:ascii="仿宋_GB2312" w:hAnsi="Arial" w:eastAsia="仿宋_GB2312" w:cs="宋体"/>
          <w:sz w:val="32"/>
          <w:szCs w:val="32"/>
          <w:shd w:val="clear" w:color="auto" w:fill="FFFFFF"/>
          <w:lang w:val="en-US" w:eastAsia="zh-CN"/>
        </w:rPr>
        <w:t>庆祝</w:t>
      </w:r>
      <w:r>
        <w:rPr>
          <w:rFonts w:hint="eastAsia" w:ascii="仿宋_GB2312" w:hAnsi="Arial" w:eastAsia="仿宋_GB2312" w:cs="宋体"/>
          <w:sz w:val="32"/>
          <w:szCs w:val="32"/>
          <w:shd w:val="clear" w:color="auto" w:fill="FFFFFF"/>
        </w:rPr>
        <w:t>建党100周年师生理论研讨会、光荣入党50年老党员老干部座谈会、统一战线座谈会等研讨交流活动。组织开展主题廉政文化和阳光体育系列活动。</w:t>
      </w:r>
    </w:p>
    <w:p>
      <w:pPr>
        <w:spacing w:line="560" w:lineRule="exact"/>
        <w:ind w:firstLine="643" w:firstLineChars="200"/>
        <w:contextualSpacing/>
        <w:textAlignment w:val="baseline"/>
        <w:rPr>
          <w:rFonts w:ascii="仿宋_GB2312" w:hAnsi="Arial" w:eastAsia="仿宋_GB2312" w:cs="宋体"/>
          <w:sz w:val="32"/>
          <w:szCs w:val="32"/>
          <w:shd w:val="clear" w:color="auto" w:fill="FFFFFF"/>
        </w:rPr>
      </w:pPr>
      <w:r>
        <w:rPr>
          <w:rFonts w:hint="eastAsia" w:ascii="仿宋_GB2312" w:hAnsi="宋体" w:eastAsia="仿宋_GB2312" w:cs="宋体"/>
          <w:b/>
          <w:bCs/>
          <w:sz w:val="32"/>
          <w:szCs w:val="32"/>
        </w:rPr>
        <w:t>扎实推进党史学习教育。</w:t>
      </w:r>
      <w:r>
        <w:rPr>
          <w:rFonts w:hint="eastAsia" w:ascii="仿宋_GB2312" w:hAnsi="Arial" w:eastAsia="仿宋_GB2312" w:cs="宋体"/>
          <w:sz w:val="32"/>
          <w:szCs w:val="32"/>
          <w:shd w:val="clear" w:color="auto" w:fill="FFFFFF"/>
        </w:rPr>
        <w:t>认真贯彻《中共中央关于在全党开展党史学习教育的通知》精神，在师生中扎实开展党史学习教育，通过邀请老红军、老党员、党政干部、优秀校友、社会楷模等典型人物讲述中国共产党百年发展史，通过举办专题读书班、集中培训、红色实践等形式，让师生深刻认识中国共产党百年奋斗的光辉历程，深刻感悟中国共产党始终不渝为人民的初心使命。讲好学校在党的领导下“工业报国”发展奋进的故事，引导师生学党史、悟思想、办实事、开新局，做到学史明理、学史增信、学史崇德、学史力行。精心组织研讨活动，通过举办理论研讨会、纪念座谈会、讲党课等，认真做好理论宣传阐释工作。积极将党史学习成果应用到学校建设发展中来，聚焦解决实际问题，践行为民服务宗旨，切实为学校发展谋新招出实招，切实为广大师生办实事办好事，推动学校又快又好发展。</w:t>
      </w:r>
    </w:p>
    <w:p>
      <w:pPr>
        <w:adjustRightInd w:val="0"/>
        <w:spacing w:line="560" w:lineRule="exact"/>
        <w:ind w:firstLine="643" w:firstLineChars="200"/>
        <w:contextualSpacing/>
        <w:rPr>
          <w:rFonts w:ascii="仿宋_GB2312" w:hAnsi="宋体" w:eastAsia="仿宋_GB2312" w:cs="宋体"/>
          <w:sz w:val="32"/>
          <w:szCs w:val="32"/>
        </w:rPr>
      </w:pPr>
      <w:r>
        <w:rPr>
          <w:rFonts w:hint="eastAsia" w:ascii="仿宋_GB2312" w:hAnsi="宋体" w:eastAsia="仿宋_GB2312" w:cs="宋体"/>
          <w:b/>
          <w:bCs/>
          <w:sz w:val="32"/>
          <w:szCs w:val="32"/>
        </w:rPr>
        <w:t>坚定不移全面从严治党。</w:t>
      </w:r>
      <w:r>
        <w:rPr>
          <w:rFonts w:hint="eastAsia" w:ascii="仿宋_GB2312" w:hAnsi="宋体" w:eastAsia="仿宋_GB2312" w:cs="宋体"/>
          <w:sz w:val="32"/>
          <w:szCs w:val="32"/>
        </w:rPr>
        <w:t>严格执行《党委（党组）落实全面从严治党主体责任规定》，完善党委主体责任、纪委监督责任、党委书记第一责任、班子成员“一岗双责”“四责协同”机制，组织召开学校全面从严治党工作会议，开展党风廉政宣传建设月活动，以强有力政治监督保障“十四五”顺利开局，促进各级党员干部带头严守政治纪律和政治规矩，营造风清气正的良好政治生态。持续巩固纪检网格模式成果，针对不同二级单位的特点和不同群体的差异化，做深做细日常监督。深化纪检监察体制机制改革，完善领导干部廉政档案系统，打造扎实有效、富有特色的纪检监督体系。</w:t>
      </w:r>
      <w:r>
        <w:rPr>
          <w:rStyle w:val="9"/>
          <w:rFonts w:hint="eastAsia" w:ascii="仿宋_GB2312" w:hAnsi="宋体" w:eastAsia="仿宋_GB2312" w:cs="宋体"/>
          <w:sz w:val="32"/>
          <w:szCs w:val="32"/>
          <w:u w:val="none"/>
        </w:rPr>
        <w:t>坚定不移深化正风肃纪反腐，一体推进不敢腐、不能腐、不想腐，</w:t>
      </w:r>
      <w:r>
        <w:rPr>
          <w:rFonts w:hint="eastAsia" w:ascii="仿宋_GB2312" w:hAnsi="宋体" w:eastAsia="仿宋_GB2312" w:cs="宋体"/>
          <w:sz w:val="32"/>
          <w:szCs w:val="32"/>
        </w:rPr>
        <w:t>强化监督执纪问责，推进对权力运行的制约和监督。深入落实中央“八项规定”精神，严肃查处形式主义、官僚主义和享乐奢靡之风。深入落实一线规则，切实为师生办实事解难题，进一步提升师生员工的获得感和满意度。</w:t>
      </w:r>
      <w:r>
        <w:rPr>
          <w:rStyle w:val="9"/>
          <w:rFonts w:hint="eastAsia" w:ascii="仿宋_GB2312" w:hAnsi="宋体" w:eastAsia="仿宋_GB2312" w:cs="宋体"/>
          <w:sz w:val="32"/>
          <w:szCs w:val="32"/>
          <w:u w:val="none"/>
        </w:rPr>
        <w:t>实施“壮骨、增肌、造血、活络”四大工程，不断推进校内巡察。</w:t>
      </w:r>
    </w:p>
    <w:p>
      <w:pPr>
        <w:adjustRightInd w:val="0"/>
        <w:spacing w:line="560" w:lineRule="exact"/>
        <w:ind w:firstLine="643" w:firstLineChars="200"/>
        <w:contextualSpacing/>
        <w:rPr>
          <w:rFonts w:ascii="仿宋_GB2312" w:hAnsi="宋体" w:eastAsia="仿宋_GB2312" w:cs="宋体"/>
          <w:sz w:val="32"/>
          <w:szCs w:val="32"/>
        </w:rPr>
      </w:pPr>
      <w:r>
        <w:rPr>
          <w:rFonts w:hint="eastAsia" w:ascii="仿宋_GB2312" w:hAnsi="宋体" w:eastAsia="仿宋_GB2312" w:cs="宋体"/>
          <w:b/>
          <w:bCs/>
          <w:sz w:val="32"/>
          <w:szCs w:val="32"/>
        </w:rPr>
        <w:t>不断提升思想政治工作质量。</w:t>
      </w:r>
      <w:r>
        <w:rPr>
          <w:rFonts w:hint="eastAsia" w:ascii="仿宋_GB2312" w:hAnsi="宋体" w:eastAsia="仿宋_GB2312" w:cs="宋体"/>
          <w:sz w:val="32"/>
          <w:szCs w:val="32"/>
        </w:rPr>
        <w:t>加快构建学校思想政治工作体系，大力实施</w:t>
      </w:r>
      <w:r>
        <w:rPr>
          <w:rFonts w:hint="eastAsia" w:ascii="仿宋_GB2312" w:hAnsi="宋体" w:eastAsia="仿宋_GB2312" w:cs="宋体"/>
          <w:bCs/>
          <w:sz w:val="32"/>
          <w:szCs w:val="32"/>
        </w:rPr>
        <w:t>思想政治工作质量提升工程，</w:t>
      </w:r>
      <w:r>
        <w:rPr>
          <w:rFonts w:hint="eastAsia" w:ascii="仿宋_GB2312" w:hAnsi="宋体" w:eastAsia="仿宋_GB2312" w:cs="宋体"/>
          <w:sz w:val="32"/>
          <w:szCs w:val="32"/>
        </w:rPr>
        <w:t>不断深化新时代思想政治理论课改革创新，全面推进学校课程思政建设，通过双肩挑、公开招聘等多种方式加强辅导员队伍建设，通过公开招聘、兼职聘用省委党校、合肥市委党校、宣城市委党校教师等多种途径加快马克思主义学院教师队伍建设，深入推进思政课程和课程思政深度融合，打造“立基铸魂、聚心笃行”社会主义核心价值观品牌，开展“文明修身计划”“典型示范引领计划”等活动，实施“浸润、融入、悟行、研耕”四位一体美育工程，构建具有工大特色的育人体系，深化“三全育人”综合改革。深化爱国主义教育，弘扬伟大抗疫精神，进一步坚定师生把小我融入大我的人生选择。</w:t>
      </w:r>
    </w:p>
    <w:p>
      <w:pPr>
        <w:adjustRightInd w:val="0"/>
        <w:spacing w:line="560" w:lineRule="exact"/>
        <w:ind w:firstLine="643" w:firstLineChars="200"/>
        <w:contextualSpacing/>
        <w:rPr>
          <w:rFonts w:ascii="仿宋_GB2312" w:hAnsi="宋体" w:eastAsia="仿宋_GB2312" w:cs="宋体"/>
          <w:b/>
          <w:bCs/>
          <w:sz w:val="32"/>
          <w:szCs w:val="32"/>
        </w:rPr>
      </w:pPr>
      <w:r>
        <w:rPr>
          <w:rFonts w:hint="eastAsia" w:ascii="仿宋_GB2312" w:hAnsi="宋体" w:eastAsia="仿宋_GB2312" w:cs="宋体"/>
          <w:b/>
          <w:bCs/>
          <w:sz w:val="32"/>
          <w:szCs w:val="32"/>
        </w:rPr>
        <w:t>实施基层党建质量攻坚行动。</w:t>
      </w:r>
      <w:r>
        <w:rPr>
          <w:rFonts w:hint="eastAsia" w:ascii="仿宋_GB2312" w:hAnsi="宋体" w:eastAsia="仿宋_GB2312" w:cs="宋体"/>
          <w:sz w:val="32"/>
          <w:szCs w:val="32"/>
        </w:rPr>
        <w:t>加强对“双带头人”教师党支部书记工作室、全国党建工作“标杆院系”“样板支部”的培育建设和过程管理，开展新一批校级培育项目申报，培育打造基层党建工作品牌。创新基层党建理念和方法载体，推动形成二级党组织书记抓党建创新案例。以党支部特色活动项目建设为依托，推动基层党支部特色发展。充分利用互联网党建平台，打造具有工大特色的党建媒体平台或栏目，强化示范辐射。开展党建工作督查，抓严基层党组织书记述职考核工作，切实提高基层党组织书记履行管党治党主体责任意识。严把党员发展过程关，加大优秀大学生和教师党员发展工作力度，确保党员发展质量。抓好基层党组织书记队伍建设，创新形式加强培养培训，提升抓党建促发展能力。</w:t>
      </w:r>
    </w:p>
    <w:p>
      <w:pPr>
        <w:adjustRightInd w:val="0"/>
        <w:spacing w:line="560" w:lineRule="exact"/>
        <w:ind w:firstLine="643" w:firstLineChars="200"/>
        <w:contextualSpacing/>
        <w:rPr>
          <w:rFonts w:ascii="仿宋_GB2312" w:hAnsi="宋体" w:eastAsia="仿宋_GB2312" w:cs="宋体"/>
          <w:sz w:val="32"/>
          <w:szCs w:val="32"/>
        </w:rPr>
      </w:pPr>
      <w:r>
        <w:rPr>
          <w:rFonts w:hint="eastAsia" w:ascii="仿宋_GB2312" w:hAnsi="宋体" w:eastAsia="仿宋_GB2312" w:cs="宋体"/>
          <w:b/>
          <w:bCs/>
          <w:sz w:val="32"/>
          <w:szCs w:val="32"/>
        </w:rPr>
        <w:t>切实维护校园和谐安全稳定。</w:t>
      </w:r>
      <w:r>
        <w:rPr>
          <w:rFonts w:hint="eastAsia" w:ascii="仿宋_GB2312" w:hAnsi="宋体" w:eastAsia="仿宋_GB2312" w:cs="宋体"/>
          <w:sz w:val="32"/>
          <w:szCs w:val="32"/>
        </w:rPr>
        <w:t>坚持统筹发展和安全，增强忧患意识，树立底线思维，筑牢安全防线。</w:t>
      </w:r>
      <w:r>
        <w:rPr>
          <w:rFonts w:hint="eastAsia" w:ascii="仿宋_GB2312" w:eastAsia="仿宋_GB2312" w:cs="宋体"/>
          <w:sz w:val="32"/>
          <w:szCs w:val="32"/>
        </w:rPr>
        <w:t>加强学校安全规范化、标准化、信息化建设，继续推进交通智能、校园监控、消控系统集成等建设工程。加强与地方政府沟通联动，更加注重防范和化解风险。强化校园及周边环境综合治理，推进重点领域、重点问题整治化解。完善校院两级逐级负责、各负其责的安全稳定责任体系。做好建党百年等特殊时期的网络安全保障工作。</w:t>
      </w:r>
    </w:p>
    <w:p>
      <w:pPr>
        <w:numPr>
          <w:ilvl w:val="0"/>
          <w:numId w:val="1"/>
        </w:numPr>
        <w:spacing w:line="560" w:lineRule="exact"/>
        <w:ind w:firstLine="640" w:firstLineChars="200"/>
        <w:contextualSpacing/>
        <w:rPr>
          <w:rStyle w:val="9"/>
          <w:rFonts w:ascii="黑体" w:hAnsi="黑体" w:eastAsia="黑体" w:cs="宋体"/>
          <w:bCs/>
          <w:sz w:val="32"/>
          <w:szCs w:val="32"/>
          <w:u w:val="none"/>
        </w:rPr>
      </w:pPr>
      <w:r>
        <w:rPr>
          <w:rStyle w:val="9"/>
          <w:rFonts w:hint="eastAsia" w:ascii="黑体" w:hAnsi="黑体" w:eastAsia="黑体" w:cs="宋体"/>
          <w:bCs/>
          <w:sz w:val="32"/>
          <w:szCs w:val="32"/>
          <w:u w:val="none"/>
        </w:rPr>
        <w:t>扎实做好书记校长开局项目</w:t>
      </w:r>
    </w:p>
    <w:p>
      <w:pPr>
        <w:adjustRightInd w:val="0"/>
        <w:spacing w:line="560" w:lineRule="exact"/>
        <w:ind w:firstLine="643" w:firstLineChars="200"/>
        <w:contextualSpacing/>
        <w:rPr>
          <w:rFonts w:ascii="仿宋_GB2312" w:hAnsi="宋体" w:eastAsia="仿宋_GB2312" w:cs="宋体"/>
          <w:sz w:val="32"/>
          <w:szCs w:val="32"/>
        </w:rPr>
      </w:pPr>
      <w:r>
        <w:rPr>
          <w:rFonts w:hint="eastAsia" w:ascii="仿宋_GB2312" w:hAnsi="宋体" w:eastAsia="仿宋_GB2312" w:cs="宋体"/>
          <w:b/>
          <w:bCs/>
          <w:sz w:val="32"/>
          <w:szCs w:val="32"/>
        </w:rPr>
        <w:t>深入开展“四史” 融入思政课教学改革创优行动。</w:t>
      </w:r>
      <w:r>
        <w:rPr>
          <w:rFonts w:hint="eastAsia" w:ascii="仿宋_GB2312" w:hAnsi="宋体" w:eastAsia="仿宋_GB2312" w:cs="宋体"/>
          <w:sz w:val="32"/>
          <w:szCs w:val="32"/>
        </w:rPr>
        <w:t>建立“四史”融入思政课的课程研究中心，深入研究“四史”融入各门思政课教学改革创优的路径、载体、方法，建构“四史”融入思政课教学改革的大中小一体化实践基地。开发校本“四史”资源，挖掘开发专业发展史、专业校友工业报国突出事迹，彰显校本文化育人功能。聘请老红军、老党员、社会楷模等优秀人物兼任思政课特聘教师，重点挖掘蕴含红色基因的“安徽实践”。举办全校“四史”融入思政课专项教学创新大赛，举办安徽省大学生学习马克思主义理论成果大赛之“四史”专题活动等，不断提升思政课教育教学效果，切实增进大学生“四个认同”。</w:t>
      </w:r>
    </w:p>
    <w:p>
      <w:pPr>
        <w:adjustRightInd w:val="0"/>
        <w:spacing w:line="560" w:lineRule="exact"/>
        <w:ind w:firstLine="643" w:firstLineChars="200"/>
        <w:contextualSpacing/>
        <w:rPr>
          <w:rFonts w:ascii="仿宋_GB2312" w:hAnsi="宋体" w:eastAsia="仿宋_GB2312" w:cs="宋体"/>
          <w:sz w:val="32"/>
          <w:szCs w:val="32"/>
        </w:rPr>
      </w:pPr>
      <w:r>
        <w:rPr>
          <w:rFonts w:hint="eastAsia" w:ascii="仿宋_GB2312" w:hAnsi="宋体" w:eastAsia="仿宋_GB2312" w:cs="宋体"/>
          <w:b/>
          <w:bCs/>
          <w:sz w:val="32"/>
          <w:szCs w:val="32"/>
        </w:rPr>
        <w:t>加强新时代学校体育教育、深化人才培养课内外一体化改革，全面提升学校人才培养质量。</w:t>
      </w:r>
      <w:r>
        <w:rPr>
          <w:rFonts w:hint="eastAsia" w:ascii="仿宋_GB2312" w:hAnsi="宋体" w:eastAsia="仿宋_GB2312" w:cs="宋体"/>
          <w:sz w:val="32"/>
          <w:szCs w:val="32"/>
        </w:rPr>
        <w:t>以贯彻落实《关于全面加强和改进新时代学校体育工作的意见》为抓手，深化学校体育教育课内外一体化改革，提升体育教育质量，实现学生培养课内课外有机融合、德智体美劳全面发展，完善合肥工业大学“第二课堂成绩单”建设内容，全面提升学校人才培养质量。加快屯溪路校区综合体育馆建设。</w:t>
      </w:r>
    </w:p>
    <w:p>
      <w:pPr>
        <w:spacing w:line="560" w:lineRule="exact"/>
        <w:ind w:firstLine="640" w:firstLineChars="200"/>
        <w:contextualSpacing/>
        <w:jc w:val="left"/>
        <w:outlineLvl w:val="0"/>
        <w:rPr>
          <w:rStyle w:val="9"/>
          <w:rFonts w:ascii="黑体" w:hAnsi="黑体" w:eastAsia="黑体" w:cs="宋体"/>
          <w:bCs/>
          <w:sz w:val="32"/>
          <w:szCs w:val="32"/>
          <w:u w:val="none"/>
        </w:rPr>
      </w:pPr>
      <w:r>
        <w:rPr>
          <w:rStyle w:val="9"/>
          <w:rFonts w:hint="eastAsia" w:ascii="黑体" w:hAnsi="黑体" w:eastAsia="黑体" w:cs="宋体"/>
          <w:bCs/>
          <w:sz w:val="32"/>
          <w:szCs w:val="32"/>
          <w:u w:val="none"/>
        </w:rPr>
        <w:t>三、深入落实立德树人根本任务</w:t>
      </w:r>
    </w:p>
    <w:p>
      <w:pPr>
        <w:adjustRightInd w:val="0"/>
        <w:spacing w:line="560" w:lineRule="exact"/>
        <w:ind w:firstLine="643" w:firstLineChars="200"/>
        <w:contextualSpacing/>
        <w:rPr>
          <w:rFonts w:ascii="仿宋_GB2312" w:hAnsi="宋体" w:eastAsia="仿宋_GB2312" w:cs="宋体"/>
          <w:sz w:val="32"/>
          <w:szCs w:val="32"/>
          <w:lang w:val="zh-CN"/>
        </w:rPr>
      </w:pPr>
      <w:r>
        <w:rPr>
          <w:rFonts w:hint="eastAsia" w:ascii="仿宋_GB2312" w:hAnsi="宋体" w:eastAsia="仿宋_GB2312" w:cs="宋体"/>
          <w:b/>
          <w:bCs/>
          <w:sz w:val="32"/>
          <w:szCs w:val="32"/>
        </w:rPr>
        <w:t>加强教育教学体系内涵建设。</w:t>
      </w:r>
      <w:r>
        <w:rPr>
          <w:rFonts w:hint="eastAsia" w:ascii="仿宋_GB2312" w:hAnsi="宋体" w:eastAsia="仿宋_GB2312" w:cs="宋体"/>
          <w:sz w:val="32"/>
          <w:szCs w:val="32"/>
        </w:rPr>
        <w:t>不断深化“立德树人、能力导向、创新创业”三位一体教育教学集成体系内涵建设，推动2019版人才培养方案持续完善并落实落细。加强专业内涵建设，推进专业结构调整优化，</w:t>
      </w:r>
      <w:r>
        <w:rPr>
          <w:rFonts w:hint="eastAsia" w:ascii="仿宋_GB2312" w:hAnsi="宋体" w:eastAsia="仿宋_GB2312" w:cs="宋体"/>
          <w:sz w:val="32"/>
          <w:szCs w:val="32"/>
          <w:lang w:val="zh-CN"/>
        </w:rPr>
        <w:t>加强国家级一流专业建设、一流课程建设</w:t>
      </w:r>
      <w:r>
        <w:rPr>
          <w:rFonts w:hint="eastAsia" w:ascii="仿宋_GB2312" w:hAnsi="宋体" w:eastAsia="仿宋_GB2312" w:cs="宋体"/>
          <w:sz w:val="32"/>
          <w:szCs w:val="32"/>
        </w:rPr>
        <w:t>，做好新获批的新工科研究与实践项目建设工作。积极做好国家工程教育专业认证工作。</w:t>
      </w:r>
      <w:r>
        <w:rPr>
          <w:rFonts w:hint="eastAsia" w:ascii="仿宋_GB2312" w:hAnsi="宋体" w:eastAsia="仿宋_GB2312" w:cs="宋体"/>
          <w:sz w:val="32"/>
          <w:szCs w:val="32"/>
          <w:lang w:val="zh-CN"/>
        </w:rPr>
        <w:t>加强教材建设、师资队伍建设、基本办学条件建设。逐步推动辅修课程、辅修专业的落实。完善“第二课堂成绩单”实施体系，形成“第二课堂成绩单”制度工作指引，推进“第二课堂成绩单”建设落细落实。</w:t>
      </w:r>
    </w:p>
    <w:p>
      <w:pPr>
        <w:adjustRightInd w:val="0"/>
        <w:spacing w:line="560" w:lineRule="exact"/>
        <w:ind w:firstLine="643" w:firstLineChars="200"/>
        <w:contextualSpacing/>
        <w:rPr>
          <w:rFonts w:ascii="仿宋_GB2312" w:hAnsi="宋体" w:eastAsia="仿宋_GB2312" w:cs="宋体"/>
          <w:sz w:val="32"/>
          <w:szCs w:val="32"/>
          <w:lang w:val="zh-CN"/>
        </w:rPr>
      </w:pPr>
      <w:r>
        <w:rPr>
          <w:rFonts w:hint="eastAsia" w:ascii="仿宋_GB2312" w:hAnsi="宋体" w:eastAsia="仿宋_GB2312" w:cs="宋体"/>
          <w:b/>
          <w:bCs/>
          <w:sz w:val="32"/>
          <w:szCs w:val="32"/>
        </w:rPr>
        <w:t>不断提高人才培养质量。</w:t>
      </w:r>
      <w:r>
        <w:rPr>
          <w:rFonts w:hint="eastAsia" w:ascii="仿宋_GB2312" w:hAnsi="宋体" w:eastAsia="仿宋_GB2312" w:cs="宋体"/>
          <w:sz w:val="32"/>
          <w:szCs w:val="32"/>
          <w:lang w:val="zh-CN"/>
        </w:rPr>
        <w:t>探索新形势下招录工作新模式、新政策、新方法，不断提高生源质量。</w:t>
      </w:r>
      <w:r>
        <w:rPr>
          <w:rFonts w:hint="eastAsia" w:ascii="仿宋_GB2312" w:hAnsi="宋体" w:eastAsia="仿宋_GB2312" w:cs="宋体"/>
          <w:sz w:val="32"/>
          <w:szCs w:val="32"/>
        </w:rPr>
        <w:t>开设创新人才培养实验班，</w:t>
      </w:r>
      <w:r>
        <w:rPr>
          <w:rFonts w:hint="eastAsia" w:ascii="仿宋_GB2312" w:hAnsi="宋体" w:eastAsia="仿宋_GB2312" w:cs="宋体"/>
          <w:sz w:val="32"/>
          <w:szCs w:val="32"/>
          <w:lang w:val="zh-CN"/>
        </w:rPr>
        <w:t>探索拔尖人才培养新模式和新途径。强化教学过程管理及督查，严格落实过程教学规范，加强持续改进，大力加强教师教学能力建设。全面推进教学信息化建设，建立“互联网+教学”“智能+教学”新形态，做好“雨课堂”智慧教学工具和“学堂云”校内智慧教学平台的使用，</w:t>
      </w:r>
      <w:r>
        <w:rPr>
          <w:rFonts w:hint="eastAsia" w:ascii="仿宋_GB2312" w:hAnsi="宋体" w:eastAsia="仿宋_GB2312" w:cs="宋体"/>
          <w:sz w:val="32"/>
          <w:szCs w:val="32"/>
        </w:rPr>
        <w:t>持续加大智慧教室建设投入。完善研究生培养管理体系，</w:t>
      </w:r>
      <w:r>
        <w:rPr>
          <w:rFonts w:hint="eastAsia" w:ascii="仿宋_GB2312" w:hAnsi="宋体" w:eastAsia="仿宋_GB2312" w:cs="宋体"/>
          <w:sz w:val="32"/>
          <w:szCs w:val="32"/>
          <w:lang w:val="zh-CN"/>
        </w:rPr>
        <w:t>全面优化工程专业研究生培养方案，</w:t>
      </w:r>
      <w:r>
        <w:rPr>
          <w:rFonts w:hint="eastAsia" w:ascii="仿宋_GB2312" w:hAnsi="宋体" w:eastAsia="仿宋_GB2312" w:cs="宋体"/>
          <w:sz w:val="32"/>
          <w:szCs w:val="32"/>
        </w:rPr>
        <w:t>继续推进研究生教学体系改革。</w:t>
      </w:r>
      <w:r>
        <w:rPr>
          <w:rFonts w:hint="eastAsia" w:ascii="仿宋_GB2312" w:hAnsi="宋体" w:eastAsia="仿宋_GB2312" w:cs="宋体"/>
          <w:sz w:val="32"/>
          <w:szCs w:val="32"/>
          <w:lang w:val="zh-CN"/>
        </w:rPr>
        <w:t>构建</w:t>
      </w:r>
      <w:r>
        <w:rPr>
          <w:rFonts w:hint="eastAsia" w:ascii="仿宋_GB2312" w:hAnsi="宋体" w:eastAsia="仿宋_GB2312" w:cs="宋体"/>
          <w:sz w:val="32"/>
          <w:szCs w:val="32"/>
        </w:rPr>
        <w:t>与企事业单位、政府机关</w:t>
      </w:r>
      <w:r>
        <w:rPr>
          <w:rFonts w:hint="eastAsia" w:ascii="仿宋_GB2312" w:hAnsi="宋体" w:eastAsia="仿宋_GB2312" w:cs="宋体"/>
          <w:sz w:val="32"/>
          <w:szCs w:val="32"/>
          <w:lang w:val="zh-CN"/>
        </w:rPr>
        <w:t>协同育人培养机制，推动产学研联合培养研究生示范基地建设。</w:t>
      </w:r>
      <w:r>
        <w:rPr>
          <w:rFonts w:hint="eastAsia" w:ascii="仿宋_GB2312" w:hAnsi="宋体" w:eastAsia="仿宋_GB2312" w:cs="宋体"/>
          <w:sz w:val="32"/>
          <w:szCs w:val="32"/>
        </w:rPr>
        <w:t>开展研究生优秀学位论文评审，</w:t>
      </w:r>
      <w:r>
        <w:rPr>
          <w:rFonts w:hint="eastAsia" w:ascii="仿宋_GB2312" w:hAnsi="宋体" w:eastAsia="仿宋_GB2312" w:cs="宋体"/>
          <w:sz w:val="32"/>
          <w:szCs w:val="32"/>
          <w:lang w:val="zh-CN"/>
        </w:rPr>
        <w:t>完善学位论文质量保障制度，不断提升学位论文质量。</w:t>
      </w:r>
    </w:p>
    <w:p>
      <w:pPr>
        <w:adjustRightInd w:val="0"/>
        <w:spacing w:line="560" w:lineRule="exact"/>
        <w:ind w:firstLine="643" w:firstLineChars="200"/>
        <w:contextualSpacing/>
        <w:rPr>
          <w:rFonts w:ascii="仿宋_GB2312" w:hAnsi="宋体" w:eastAsia="仿宋_GB2312" w:cs="宋体"/>
          <w:sz w:val="32"/>
          <w:szCs w:val="32"/>
          <w:lang w:val="zh-CN"/>
        </w:rPr>
      </w:pPr>
      <w:r>
        <w:rPr>
          <w:rFonts w:hint="eastAsia" w:ascii="仿宋_GB2312" w:hAnsi="宋体" w:eastAsia="仿宋_GB2312" w:cs="宋体"/>
          <w:b/>
          <w:bCs/>
          <w:sz w:val="32"/>
          <w:szCs w:val="32"/>
        </w:rPr>
        <w:t>深化创新创业教育改革。</w:t>
      </w:r>
      <w:r>
        <w:rPr>
          <w:rFonts w:hint="eastAsia" w:ascii="仿宋_GB2312" w:hAnsi="宋体" w:eastAsia="仿宋_GB2312" w:cs="宋体"/>
          <w:sz w:val="32"/>
          <w:szCs w:val="32"/>
        </w:rPr>
        <w:t>以</w:t>
      </w:r>
      <w:r>
        <w:rPr>
          <w:rFonts w:hint="eastAsia" w:ascii="仿宋_GB2312" w:hAnsi="宋体" w:eastAsia="仿宋_GB2312" w:cs="宋体"/>
          <w:sz w:val="32"/>
          <w:szCs w:val="32"/>
          <w:lang w:val="zh-CN"/>
        </w:rPr>
        <w:t>深化创新创业教育改革为抓手、以“敢闯会闯”为核心要素，推动人才培养范式变革，提升学生敢闯的素质、会闯的能力。启动创新创业教育通识类必修课程建设立项工作，推进以学院为主体的专创融合课程建设及各专业专创融合课程全覆盖，推动创新创业实践项目“模块化、多样化、品牌化”。</w:t>
      </w:r>
      <w:r>
        <w:rPr>
          <w:rFonts w:hint="eastAsia" w:ascii="仿宋_GB2312" w:hAnsi="宋体" w:eastAsia="仿宋_GB2312" w:cs="宋体"/>
          <w:sz w:val="32"/>
          <w:szCs w:val="32"/>
        </w:rPr>
        <w:t>扎实推进“一区一空间、一区一团队、一院一品牌”建设，</w:t>
      </w:r>
      <w:r>
        <w:rPr>
          <w:rFonts w:hint="eastAsia" w:ascii="仿宋_GB2312" w:hAnsi="宋体" w:eastAsia="仿宋_GB2312" w:cs="宋体"/>
          <w:sz w:val="32"/>
          <w:szCs w:val="32"/>
          <w:lang w:val="zh-CN"/>
        </w:rPr>
        <w:t>加强</w:t>
      </w:r>
      <w:bookmarkStart w:id="0" w:name="_Hlk66096419"/>
      <w:r>
        <w:rPr>
          <w:rFonts w:hint="eastAsia" w:ascii="仿宋_GB2312" w:hAnsi="宋体" w:eastAsia="仿宋_GB2312" w:cs="宋体"/>
          <w:sz w:val="32"/>
          <w:szCs w:val="32"/>
          <w:lang w:val="zh-CN"/>
        </w:rPr>
        <w:t>HFUT创新创业@</w:t>
      </w:r>
      <w:bookmarkEnd w:id="0"/>
      <w:r>
        <w:rPr>
          <w:rFonts w:hint="eastAsia" w:ascii="仿宋_GB2312" w:hAnsi="宋体" w:eastAsia="仿宋_GB2312" w:cs="宋体"/>
          <w:sz w:val="32"/>
          <w:szCs w:val="32"/>
          <w:lang w:val="zh-CN"/>
        </w:rPr>
        <w:t>大数据中心、HFUT创新创业@机器人中心和工大学子创客空间实践基地建设。做好</w:t>
      </w:r>
      <w:r>
        <w:rPr>
          <w:rFonts w:hint="eastAsia" w:ascii="仿宋_GB2312" w:hAnsi="宋体" w:eastAsia="仿宋_GB2312" w:cs="宋体"/>
          <w:sz w:val="32"/>
          <w:szCs w:val="32"/>
        </w:rPr>
        <w:t>各层次</w:t>
      </w:r>
      <w:r>
        <w:rPr>
          <w:rFonts w:hint="eastAsia" w:ascii="仿宋_GB2312" w:hAnsi="宋体" w:eastAsia="仿宋_GB2312" w:cs="宋体"/>
          <w:sz w:val="32"/>
          <w:szCs w:val="32"/>
          <w:lang w:val="zh-CN"/>
        </w:rPr>
        <w:t>创新创业</w:t>
      </w:r>
      <w:r>
        <w:rPr>
          <w:rFonts w:hint="eastAsia" w:ascii="仿宋_GB2312" w:hAnsi="宋体" w:eastAsia="仿宋_GB2312" w:cs="宋体"/>
          <w:sz w:val="32"/>
          <w:szCs w:val="32"/>
        </w:rPr>
        <w:t>竞赛</w:t>
      </w:r>
      <w:r>
        <w:rPr>
          <w:rFonts w:hint="eastAsia" w:ascii="仿宋_GB2312" w:hAnsi="宋体" w:eastAsia="仿宋_GB2312" w:cs="宋体"/>
          <w:sz w:val="32"/>
          <w:szCs w:val="32"/>
          <w:lang w:val="zh-CN"/>
        </w:rPr>
        <w:t>工作和</w:t>
      </w:r>
      <w:r>
        <w:rPr>
          <w:rFonts w:hint="eastAsia" w:ascii="仿宋_GB2312" w:hAnsi="宋体" w:eastAsia="仿宋_GB2312" w:cs="宋体"/>
          <w:sz w:val="32"/>
          <w:szCs w:val="32"/>
        </w:rPr>
        <w:t>众创空间建设管理工作</w:t>
      </w:r>
      <w:r>
        <w:rPr>
          <w:rFonts w:hint="eastAsia" w:ascii="仿宋_GB2312" w:hAnsi="宋体" w:eastAsia="仿宋_GB2312" w:cs="宋体"/>
          <w:sz w:val="32"/>
          <w:szCs w:val="32"/>
          <w:lang w:val="zh-CN"/>
        </w:rPr>
        <w:t>，</w:t>
      </w:r>
      <w:r>
        <w:rPr>
          <w:rFonts w:hint="eastAsia" w:ascii="仿宋_GB2312" w:hAnsi="宋体" w:eastAsia="仿宋_GB2312" w:cs="宋体"/>
          <w:sz w:val="32"/>
          <w:szCs w:val="32"/>
        </w:rPr>
        <w:t>积极引入社会资源助力创新创业教育，打通优质创新创业项目产业孵化最后一公里。</w:t>
      </w:r>
    </w:p>
    <w:p>
      <w:pPr>
        <w:spacing w:line="560" w:lineRule="exact"/>
        <w:ind w:firstLine="640" w:firstLineChars="200"/>
        <w:contextualSpacing/>
        <w:outlineLvl w:val="0"/>
        <w:rPr>
          <w:rStyle w:val="9"/>
          <w:rFonts w:ascii="黑体" w:hAnsi="黑体" w:eastAsia="黑体" w:cs="宋体"/>
          <w:bCs/>
          <w:sz w:val="32"/>
          <w:szCs w:val="32"/>
          <w:u w:val="none"/>
        </w:rPr>
      </w:pPr>
      <w:r>
        <w:rPr>
          <w:rStyle w:val="9"/>
          <w:rFonts w:hint="eastAsia" w:ascii="黑体" w:hAnsi="黑体" w:eastAsia="黑体" w:cs="宋体"/>
          <w:bCs/>
          <w:sz w:val="32"/>
          <w:szCs w:val="32"/>
          <w:u w:val="none"/>
        </w:rPr>
        <w:t>四、</w:t>
      </w:r>
      <w:r>
        <w:fldChar w:fldCharType="begin"/>
      </w:r>
      <w:r>
        <w:instrText xml:space="preserve"> HYPERLINK "http://www.baidu.com/link?url=RFXlmKsu6D9PG4AD7Z2x8D_U79o1pEUSYsIjJ0jg7mhueBmUKsq8yPBjR2flpPcNKCZRAnQyowmEzNwRO21eVY_0o26JrO14x_8G2j8MuA4IG2sk-vBtMSQokUL8gGBkt9HHzVn-1rUA8-MpPSMEmH0DMq0SN0oazlXBIlhniw-u7jhxoSjffJqMg3GE_NeGMi6CYyQYTEm9Vfj6yPM5-4sV6aL_w8X9MnchhsSAD8nhGNj9bauf1XDeK3Xa24XNGVQmCui9IianuYY-abcHsjqXtaGi-suyJ7Zyl034-1Gs-xt4HKtNOqPpI20H2uMu-IfMqUeuFoec1RYcd1goIAPtqY9dmqmxV6btCyrASYkTaI3CFoB2TmMgXjIIl09JO6_YKMhn7LLT2F2evqOOt-l0xTb6ET36EPen1qgD9la" \t "https://www.baidu.com/_blank" </w:instrText>
      </w:r>
      <w:r>
        <w:fldChar w:fldCharType="separate"/>
      </w:r>
      <w:r>
        <w:rPr>
          <w:rStyle w:val="9"/>
          <w:rFonts w:hint="eastAsia" w:ascii="黑体" w:hAnsi="黑体" w:eastAsia="黑体" w:cs="宋体"/>
          <w:bCs/>
          <w:sz w:val="32"/>
          <w:szCs w:val="32"/>
          <w:u w:val="none"/>
        </w:rPr>
        <w:t>提升学校内涵式发展水平</w:t>
      </w:r>
      <w:r>
        <w:rPr>
          <w:rStyle w:val="9"/>
          <w:rFonts w:hint="eastAsia" w:ascii="黑体" w:hAnsi="黑体" w:eastAsia="黑体" w:cs="宋体"/>
          <w:bCs/>
          <w:sz w:val="32"/>
          <w:szCs w:val="32"/>
          <w:u w:val="none"/>
        </w:rPr>
        <w:fldChar w:fldCharType="end"/>
      </w:r>
    </w:p>
    <w:p>
      <w:pPr>
        <w:adjustRightInd w:val="0"/>
        <w:spacing w:line="560" w:lineRule="exact"/>
        <w:ind w:firstLine="643" w:firstLineChars="200"/>
        <w:contextualSpacing/>
        <w:rPr>
          <w:rFonts w:ascii="仿宋_GB2312" w:hAnsi="宋体" w:eastAsia="仿宋_GB2312" w:cs="宋体"/>
          <w:sz w:val="32"/>
          <w:szCs w:val="32"/>
          <w:lang w:val="zh-CN"/>
        </w:rPr>
      </w:pPr>
      <w:r>
        <w:rPr>
          <w:rFonts w:hint="eastAsia" w:ascii="仿宋_GB2312" w:hAnsi="宋体" w:eastAsia="仿宋_GB2312" w:cs="宋体"/>
          <w:b/>
          <w:bCs/>
          <w:sz w:val="32"/>
          <w:szCs w:val="32"/>
        </w:rPr>
        <w:t>深化一流学科建设。</w:t>
      </w:r>
      <w:r>
        <w:rPr>
          <w:rFonts w:hint="eastAsia" w:ascii="仿宋_GB2312" w:hAnsi="宋体" w:eastAsia="仿宋_GB2312" w:cs="宋体"/>
          <w:sz w:val="32"/>
          <w:szCs w:val="32"/>
        </w:rPr>
        <w:t>做好新一轮“双一流”学科建设方案，进一步发挥</w:t>
      </w:r>
      <w:r>
        <w:rPr>
          <w:rFonts w:hint="eastAsia" w:ascii="仿宋_GB2312" w:hAnsi="宋体" w:eastAsia="仿宋_GB2312" w:cs="宋体"/>
          <w:sz w:val="32"/>
          <w:szCs w:val="32"/>
          <w:lang w:val="zh-CN"/>
        </w:rPr>
        <w:t>引领示范作用，带动学科建设整体水平的提升。</w:t>
      </w:r>
      <w:r>
        <w:rPr>
          <w:rFonts w:hint="eastAsia" w:ascii="仿宋_GB2312" w:hAnsi="宋体" w:eastAsia="仿宋_GB2312" w:cs="宋体"/>
          <w:sz w:val="32"/>
          <w:szCs w:val="32"/>
        </w:rPr>
        <w:t>建设交叉学科研究院</w:t>
      </w:r>
      <w:r>
        <w:rPr>
          <w:rFonts w:hint="eastAsia" w:ascii="仿宋_GB2312" w:hAnsi="宋体" w:eastAsia="仿宋_GB2312" w:cs="宋体"/>
          <w:sz w:val="32"/>
          <w:szCs w:val="32"/>
          <w:lang w:val="zh-CN"/>
        </w:rPr>
        <w:t>，设立发展基金</w:t>
      </w:r>
      <w:r>
        <w:rPr>
          <w:rFonts w:hint="eastAsia" w:ascii="仿宋_GB2312" w:hAnsi="宋体" w:eastAsia="仿宋_GB2312" w:cs="宋体"/>
          <w:sz w:val="32"/>
          <w:szCs w:val="32"/>
        </w:rPr>
        <w:t>，</w:t>
      </w:r>
      <w:r>
        <w:rPr>
          <w:rFonts w:hint="eastAsia" w:ascii="仿宋_GB2312" w:hAnsi="宋体" w:eastAsia="仿宋_GB2312" w:cs="宋体"/>
          <w:sz w:val="32"/>
          <w:szCs w:val="32"/>
          <w:lang w:val="zh-CN"/>
        </w:rPr>
        <w:t>加强</w:t>
      </w:r>
      <w:r>
        <w:rPr>
          <w:rFonts w:hint="eastAsia" w:ascii="仿宋_GB2312" w:hAnsi="宋体" w:eastAsia="仿宋_GB2312" w:cs="宋体"/>
          <w:sz w:val="32"/>
          <w:szCs w:val="32"/>
        </w:rPr>
        <w:t>跨学科创新人才培养和跨学科科学研究，推动交叉学科和基础学科群建设。</w:t>
      </w:r>
      <w:r>
        <w:rPr>
          <w:rFonts w:hint="eastAsia" w:ascii="仿宋_GB2312" w:hAnsi="宋体" w:eastAsia="仿宋_GB2312" w:cs="宋体"/>
          <w:sz w:val="32"/>
          <w:szCs w:val="32"/>
          <w:lang w:val="zh-CN"/>
        </w:rPr>
        <w:t>实施学位授权点动态调整，实行</w:t>
      </w:r>
      <w:r>
        <w:rPr>
          <w:rFonts w:hint="eastAsia" w:ascii="仿宋_GB2312" w:hAnsi="宋体" w:eastAsia="仿宋_GB2312" w:cs="宋体"/>
          <w:sz w:val="32"/>
          <w:szCs w:val="32"/>
        </w:rPr>
        <w:t>二级学科自主设置，优化调整学科战略布局，</w:t>
      </w:r>
      <w:r>
        <w:rPr>
          <w:rFonts w:hint="eastAsia" w:ascii="仿宋_GB2312" w:hAnsi="宋体" w:eastAsia="仿宋_GB2312" w:cs="宋体"/>
          <w:sz w:val="32"/>
          <w:szCs w:val="32"/>
          <w:lang w:val="zh-CN"/>
        </w:rPr>
        <w:t>推动学位授权点向以质量提升为核心的内涵式发展转变。全面做好第五轮学科评估、全国专业学位水平评估、学位授权点周期性合格评估工作。</w:t>
      </w:r>
      <w:r>
        <w:rPr>
          <w:rFonts w:hint="eastAsia" w:ascii="仿宋_GB2312" w:hAnsi="宋体" w:eastAsia="仿宋_GB2312" w:cs="宋体"/>
          <w:sz w:val="32"/>
          <w:szCs w:val="32"/>
        </w:rPr>
        <w:t>扎实推进学位点申报工作，</w:t>
      </w:r>
      <w:r>
        <w:rPr>
          <w:rFonts w:hint="eastAsia" w:ascii="仿宋_GB2312" w:hAnsi="宋体" w:eastAsia="仿宋_GB2312" w:cs="宋体"/>
          <w:sz w:val="32"/>
          <w:szCs w:val="32"/>
          <w:lang w:val="zh-CN"/>
        </w:rPr>
        <w:t>确保学科建设进一步提质增效。</w:t>
      </w:r>
    </w:p>
    <w:p>
      <w:pPr>
        <w:adjustRightInd w:val="0"/>
        <w:spacing w:line="560" w:lineRule="exact"/>
        <w:ind w:firstLine="643" w:firstLineChars="200"/>
        <w:contextualSpacing/>
        <w:rPr>
          <w:rFonts w:ascii="仿宋_GB2312" w:hAnsi="宋体" w:eastAsia="仿宋_GB2312" w:cs="宋体"/>
          <w:sz w:val="32"/>
          <w:szCs w:val="32"/>
          <w:lang w:val="zh-CN"/>
        </w:rPr>
      </w:pPr>
      <w:r>
        <w:rPr>
          <w:rFonts w:hint="eastAsia" w:ascii="仿宋_GB2312" w:hAnsi="宋体" w:eastAsia="仿宋_GB2312" w:cs="宋体"/>
          <w:b/>
          <w:bCs/>
          <w:sz w:val="32"/>
          <w:szCs w:val="32"/>
        </w:rPr>
        <w:t>提升科研能力和水平。</w:t>
      </w:r>
      <w:r>
        <w:rPr>
          <w:rFonts w:hint="eastAsia" w:ascii="仿宋_GB2312" w:hAnsi="宋体" w:eastAsia="仿宋_GB2312" w:cs="宋体"/>
          <w:sz w:val="32"/>
          <w:szCs w:val="32"/>
        </w:rPr>
        <w:t>落实新时代教育评价改革，坚持破“五唯”的评价机制，引导科研工作向高水平、原创性发展，持续推进内涵式发展。探索适合我校特点的科研新体制、新机制，打造科研特区。充分发挥校内计划项目的导向激励作用，注重创新成果导向，强化递进式培育和竞争择优机制，形成稳定性支持和竞争性支持并行的模式，提升青年教师的基础科研能力。</w:t>
      </w:r>
      <w:r>
        <w:rPr>
          <w:rFonts w:hint="eastAsia" w:ascii="仿宋_GB2312" w:hAnsi="宋体" w:eastAsia="仿宋_GB2312" w:cs="宋体"/>
          <w:sz w:val="32"/>
          <w:szCs w:val="32"/>
          <w:lang w:val="zh-CN"/>
        </w:rPr>
        <w:t>聚焦国家和地方战略需求及科技前沿，瞄准关键共性技术和卡脖子难题，加强基础研究与应用基础研究，坚持化零为整，加快推动有组织科研创新。有计划有重点地组织重大共性问题和工程技术难题的预研，</w:t>
      </w:r>
      <w:r>
        <w:rPr>
          <w:rFonts w:hint="eastAsia" w:ascii="仿宋_GB2312" w:hAnsi="宋体" w:eastAsia="仿宋_GB2312" w:cs="宋体"/>
          <w:sz w:val="32"/>
          <w:szCs w:val="32"/>
        </w:rPr>
        <w:t>提升承接重大项目的能力，</w:t>
      </w:r>
      <w:r>
        <w:rPr>
          <w:rFonts w:hint="eastAsia" w:ascii="仿宋_GB2312" w:hAnsi="宋体" w:eastAsia="仿宋_GB2312" w:cs="宋体"/>
          <w:sz w:val="32"/>
          <w:szCs w:val="32"/>
          <w:lang w:val="zh-CN"/>
        </w:rPr>
        <w:t>提升国家重点研发计划项目、自然科学基金重点项目的数量质量，争取国家杰青、优青项目有更大突破。瞄准国防建设重大需求，凝练军工特色研究方向，提高国防科研技术创新水平，</w:t>
      </w:r>
      <w:r>
        <w:rPr>
          <w:rFonts w:hint="eastAsia" w:ascii="仿宋_GB2312" w:hAnsi="宋体" w:eastAsia="仿宋_GB2312" w:cs="宋体"/>
          <w:sz w:val="32"/>
          <w:szCs w:val="32"/>
        </w:rPr>
        <w:t>推动军民融合深度发展。</w:t>
      </w:r>
      <w:r>
        <w:rPr>
          <w:rFonts w:hint="eastAsia" w:ascii="仿宋_GB2312" w:hAnsi="宋体" w:eastAsia="仿宋_GB2312" w:cs="宋体"/>
          <w:sz w:val="32"/>
          <w:szCs w:val="32"/>
          <w:lang w:val="zh-CN"/>
        </w:rPr>
        <w:t>继续保持国家社科基金、教育部人文社科基金等社科项目的增长态势，</w:t>
      </w:r>
      <w:r>
        <w:rPr>
          <w:rFonts w:hint="eastAsia" w:ascii="仿宋_GB2312" w:hAnsi="宋体" w:eastAsia="仿宋_GB2312" w:cs="宋体"/>
          <w:sz w:val="32"/>
          <w:szCs w:val="32"/>
        </w:rPr>
        <w:t>进一步提升高层次项目获批率。</w:t>
      </w:r>
    </w:p>
    <w:p>
      <w:pPr>
        <w:adjustRightInd w:val="0"/>
        <w:spacing w:line="560" w:lineRule="exact"/>
        <w:ind w:firstLine="643" w:firstLineChars="200"/>
        <w:contextualSpacing/>
        <w:rPr>
          <w:rFonts w:ascii="仿宋_GB2312" w:hAnsi="宋体" w:eastAsia="仿宋_GB2312" w:cs="宋体"/>
          <w:sz w:val="32"/>
          <w:szCs w:val="32"/>
          <w:lang w:val="zh-CN"/>
        </w:rPr>
      </w:pPr>
      <w:r>
        <w:rPr>
          <w:rFonts w:hint="eastAsia" w:ascii="仿宋_GB2312" w:hAnsi="宋体" w:eastAsia="仿宋_GB2312" w:cs="宋体"/>
          <w:b/>
          <w:bCs/>
          <w:sz w:val="32"/>
          <w:szCs w:val="32"/>
        </w:rPr>
        <w:t>推进基地平台建设。</w:t>
      </w:r>
      <w:r>
        <w:rPr>
          <w:rFonts w:hint="eastAsia" w:ascii="仿宋_GB2312" w:hAnsi="宋体" w:eastAsia="仿宋_GB2312" w:cs="宋体"/>
          <w:sz w:val="32"/>
          <w:szCs w:val="32"/>
          <w:lang w:val="zh-CN"/>
        </w:rPr>
        <w:t>加强学校参与的合肥国家综合性科学中心产业创新中心项目、安徽省能源研究院、安徽省人工智能研究院建设。围绕经济社会发展需求，突出学科领域优势，统筹基地规划布局，谋划新的创新平台。对标国家级科研基地要求，遴选培育校内重点科研基地，整合相关资源，积极申报省部级及以上科研基地，争取在国家级平台上有所突破。强化已有平台的绩效评价，</w:t>
      </w:r>
      <w:r>
        <w:rPr>
          <w:rFonts w:hint="eastAsia" w:ascii="仿宋_GB2312" w:hAnsi="宋体" w:eastAsia="仿宋_GB2312" w:cs="宋体"/>
          <w:sz w:val="32"/>
          <w:szCs w:val="32"/>
        </w:rPr>
        <w:t>探索学校、学院、基地多级管理体制，激发科研基地活力，</w:t>
      </w:r>
      <w:r>
        <w:rPr>
          <w:rFonts w:hint="eastAsia" w:ascii="仿宋_GB2312" w:hAnsi="宋体" w:eastAsia="仿宋_GB2312" w:cs="宋体"/>
          <w:sz w:val="32"/>
          <w:szCs w:val="32"/>
          <w:lang w:val="zh-CN"/>
        </w:rPr>
        <w:t>重点支持若干平台上层次上水平。加强智慧城市与智能建筑研究院建设。加强人文社科重点研究基地和高端智库等建设，</w:t>
      </w:r>
      <w:r>
        <w:rPr>
          <w:rFonts w:hint="eastAsia" w:ascii="仿宋_GB2312" w:hAnsi="宋体" w:eastAsia="仿宋_GB2312" w:cs="宋体"/>
          <w:sz w:val="32"/>
          <w:szCs w:val="32"/>
        </w:rPr>
        <w:t>深入开展针对性、综合性、前瞻性和长远性的政策研究和决策咨询。</w:t>
      </w:r>
      <w:r>
        <w:rPr>
          <w:rFonts w:hint="eastAsia" w:ascii="仿宋_GB2312" w:hAnsi="宋体" w:eastAsia="仿宋_GB2312" w:cs="宋体"/>
          <w:sz w:val="32"/>
          <w:szCs w:val="32"/>
          <w:lang w:val="zh-CN"/>
        </w:rPr>
        <w:t>按照“依托学科、相对集中、专管共用、开放共享”原则，</w:t>
      </w:r>
      <w:r>
        <w:rPr>
          <w:rFonts w:hint="eastAsia" w:ascii="仿宋_GB2312" w:hAnsi="宋体" w:eastAsia="仿宋_GB2312" w:cs="宋体"/>
          <w:sz w:val="32"/>
          <w:szCs w:val="32"/>
        </w:rPr>
        <w:t>继续</w:t>
      </w:r>
      <w:r>
        <w:rPr>
          <w:rFonts w:hint="eastAsia" w:ascii="仿宋_GB2312" w:hAnsi="宋体" w:eastAsia="仿宋_GB2312" w:cs="宋体"/>
          <w:sz w:val="32"/>
          <w:szCs w:val="32"/>
          <w:lang w:val="zh-CN"/>
        </w:rPr>
        <w:t>推进学校各类科研平台整合，建立大型仪器设备共享平台。继续做好校科协、校社科联各项工作。充分发挥智能制造技术研究院资源链接作用，利用好</w:t>
      </w:r>
      <w:r>
        <w:rPr>
          <w:rFonts w:hint="eastAsia" w:ascii="仿宋_GB2312" w:eastAsia="仿宋_GB2312" w:hAnsiTheme="minorEastAsia"/>
          <w:sz w:val="32"/>
          <w:szCs w:val="32"/>
        </w:rPr>
        <w:t>智能院研发中心</w:t>
      </w:r>
      <w:r>
        <w:rPr>
          <w:rFonts w:hint="eastAsia" w:ascii="仿宋_GB2312" w:hAnsi="宋体" w:eastAsia="仿宋_GB2312" w:cs="宋体"/>
          <w:sz w:val="32"/>
          <w:szCs w:val="32"/>
          <w:lang w:val="zh-CN"/>
        </w:rPr>
        <w:t>空间，加强国家级平台创建，争取获批1个国家级平台资质。</w:t>
      </w:r>
    </w:p>
    <w:p>
      <w:pPr>
        <w:adjustRightInd w:val="0"/>
        <w:spacing w:line="560" w:lineRule="exact"/>
        <w:ind w:firstLine="643" w:firstLineChars="200"/>
        <w:contextualSpacing/>
        <w:rPr>
          <w:rFonts w:ascii="仿宋_GB2312" w:hAnsi="宋体" w:eastAsia="仿宋_GB2312" w:cs="宋体"/>
          <w:sz w:val="32"/>
          <w:szCs w:val="32"/>
        </w:rPr>
      </w:pPr>
      <w:r>
        <w:rPr>
          <w:rFonts w:hint="eastAsia" w:ascii="仿宋_GB2312" w:hAnsi="宋体" w:eastAsia="仿宋_GB2312" w:cs="宋体"/>
          <w:b/>
          <w:bCs/>
          <w:sz w:val="32"/>
          <w:szCs w:val="32"/>
        </w:rPr>
        <w:t>加快科技成果转移转化。</w:t>
      </w:r>
      <w:r>
        <w:rPr>
          <w:rFonts w:hint="eastAsia" w:ascii="仿宋_GB2312" w:hAnsi="宋体" w:eastAsia="仿宋_GB2312" w:cs="宋体"/>
          <w:sz w:val="32"/>
          <w:szCs w:val="32"/>
          <w:lang w:val="zh-CN"/>
        </w:rPr>
        <w:t>面向产业行业共性、关键及重大需求，持续升级需求传导型政产学研用合作新模式“合工大模式”，强化“企业出题、政府立题、高校解题、市场阅卷”特色，推动新模式</w:t>
      </w:r>
      <w:r>
        <w:rPr>
          <w:rFonts w:hint="eastAsia" w:ascii="仿宋_GB2312" w:hAnsi="宋体" w:eastAsia="仿宋_GB2312" w:cs="宋体"/>
          <w:sz w:val="32"/>
          <w:szCs w:val="32"/>
        </w:rPr>
        <w:t>在省内外多个地区创新性复制与推广</w:t>
      </w:r>
      <w:r>
        <w:rPr>
          <w:rFonts w:hint="eastAsia" w:ascii="仿宋_GB2312" w:hAnsi="宋体" w:eastAsia="仿宋_GB2312" w:cs="宋体"/>
          <w:sz w:val="32"/>
          <w:szCs w:val="32"/>
          <w:lang w:val="zh-CN"/>
        </w:rPr>
        <w:t>，形成“一个城市一个特色，一个百强县一个主攻方向”。继续做好技术转移分中心建设，加强产业引导资金项目的组织管理等工作。</w:t>
      </w:r>
      <w:r>
        <w:rPr>
          <w:rFonts w:hint="eastAsia" w:ascii="仿宋_GB2312" w:hAnsi="宋体" w:eastAsia="仿宋_GB2312" w:cs="宋体"/>
          <w:sz w:val="32"/>
          <w:szCs w:val="32"/>
        </w:rPr>
        <w:t>坚持</w:t>
      </w:r>
      <w:r>
        <w:rPr>
          <w:rFonts w:hint="eastAsia" w:ascii="仿宋_GB2312" w:hAnsi="宋体" w:eastAsia="仿宋_GB2312" w:cs="宋体"/>
          <w:sz w:val="32"/>
          <w:szCs w:val="32"/>
          <w:lang w:val="zh-CN"/>
        </w:rPr>
        <w:t>创新驱动发展战略，让学校成为区域经济转型升级和技术革新的策源地。实施“走出去”战略，密切与央企、国有大型企业、上市公司以及战略性新兴行业有影响力的龙头企业联系，开展产学研用合作。</w:t>
      </w:r>
      <w:r>
        <w:rPr>
          <w:rFonts w:hint="eastAsia" w:ascii="仿宋_GB2312" w:hAnsi="宋体" w:eastAsia="仿宋_GB2312" w:cs="宋体"/>
          <w:sz w:val="32"/>
          <w:szCs w:val="32"/>
        </w:rPr>
        <w:t>健全市场导向、社会资本参与、多要素深度融合的成果转化机制，</w:t>
      </w:r>
      <w:r>
        <w:rPr>
          <w:rFonts w:hint="eastAsia" w:ascii="仿宋_GB2312" w:hAnsi="宋体" w:eastAsia="仿宋_GB2312" w:cs="宋体"/>
          <w:sz w:val="32"/>
          <w:szCs w:val="32"/>
          <w:lang w:val="zh-CN"/>
        </w:rPr>
        <w:t>提高专利转移转化率，</w:t>
      </w:r>
      <w:r>
        <w:rPr>
          <w:rFonts w:hint="eastAsia" w:ascii="仿宋_GB2312" w:hAnsi="宋体" w:eastAsia="仿宋_GB2312" w:cs="宋体"/>
          <w:sz w:val="32"/>
          <w:szCs w:val="32"/>
        </w:rPr>
        <w:t>推动科技资源优势高效转化。充分发挥智能制造技术研究院在科技成果转移转化中的重要作用，</w:t>
      </w:r>
      <w:r>
        <w:rPr>
          <w:rFonts w:hint="eastAsia" w:ascii="仿宋_GB2312" w:hAnsi="宋体" w:eastAsia="仿宋_GB2312" w:cs="宋体"/>
          <w:sz w:val="32"/>
          <w:szCs w:val="32"/>
          <w:lang w:val="zh-CN"/>
        </w:rPr>
        <w:t>加强高水平科研成果转移转化</w:t>
      </w:r>
      <w:r>
        <w:rPr>
          <w:rFonts w:hint="eastAsia" w:ascii="仿宋_GB2312" w:hAnsi="宋体" w:eastAsia="仿宋_GB2312" w:cs="宋体"/>
          <w:sz w:val="32"/>
          <w:szCs w:val="32"/>
        </w:rPr>
        <w:t>。推进宛陵科创城科研中心建设，以宣城校区为依托深度融入长三角一体化高质量发展，更好地服务国家战略。</w:t>
      </w:r>
    </w:p>
    <w:p>
      <w:pPr>
        <w:spacing w:line="560" w:lineRule="exact"/>
        <w:ind w:firstLine="640" w:firstLineChars="200"/>
        <w:contextualSpacing/>
        <w:outlineLvl w:val="0"/>
        <w:rPr>
          <w:rStyle w:val="9"/>
          <w:rFonts w:ascii="黑体" w:hAnsi="黑体" w:eastAsia="黑体" w:cs="宋体"/>
          <w:bCs/>
          <w:sz w:val="32"/>
          <w:szCs w:val="32"/>
          <w:u w:val="none"/>
          <w:lang w:val="zh-CN"/>
        </w:rPr>
      </w:pPr>
      <w:r>
        <w:rPr>
          <w:rStyle w:val="9"/>
          <w:rFonts w:hint="eastAsia" w:ascii="黑体" w:hAnsi="黑体" w:eastAsia="黑体" w:cs="宋体"/>
          <w:bCs/>
          <w:sz w:val="32"/>
          <w:szCs w:val="32"/>
          <w:u w:val="none"/>
          <w:lang w:val="zh-CN"/>
        </w:rPr>
        <w:t>五、</w:t>
      </w:r>
      <w:r>
        <w:rPr>
          <w:rStyle w:val="9"/>
          <w:rFonts w:hint="eastAsia" w:ascii="黑体" w:hAnsi="黑体" w:eastAsia="黑体" w:cs="宋体"/>
          <w:bCs/>
          <w:sz w:val="32"/>
          <w:szCs w:val="32"/>
          <w:u w:val="none"/>
        </w:rPr>
        <w:t>加快高水平干部和师资队伍建设</w:t>
      </w:r>
    </w:p>
    <w:p>
      <w:pPr>
        <w:adjustRightInd w:val="0"/>
        <w:spacing w:line="560" w:lineRule="exact"/>
        <w:ind w:firstLine="643" w:firstLineChars="200"/>
        <w:contextualSpacing/>
        <w:rPr>
          <w:rFonts w:ascii="仿宋_GB2312" w:hAnsi="宋体" w:eastAsia="仿宋_GB2312" w:cs="宋体"/>
          <w:sz w:val="32"/>
          <w:szCs w:val="32"/>
        </w:rPr>
      </w:pPr>
      <w:r>
        <w:rPr>
          <w:rFonts w:hint="eastAsia" w:ascii="仿宋_GB2312" w:hAnsi="宋体" w:eastAsia="仿宋_GB2312" w:cs="宋体"/>
          <w:b/>
          <w:bCs/>
          <w:sz w:val="32"/>
          <w:szCs w:val="32"/>
        </w:rPr>
        <w:t>锻造高素质干部队伍。</w:t>
      </w:r>
      <w:r>
        <w:rPr>
          <w:rFonts w:hint="eastAsia" w:ascii="仿宋_GB2312" w:hAnsi="宋体" w:eastAsia="仿宋_GB2312" w:cs="宋体"/>
          <w:sz w:val="32"/>
          <w:szCs w:val="32"/>
        </w:rPr>
        <w:t>完善干部工作制度，制定修订《合肥工业大学中层领导班子和干部队伍建设规划（2021-2025年）》《合肥工业大学处级干部年度考核办法》等文件，激励引导干部履职尽责、担当作为。突出政治标准，坚持人岗相适，做好部分中层干部空岗补充和科级干部选拔任用工作，认真做好第六轮中层领导干部换届后试用期满处级干部的考核工作。启用干部综合管理信息系统，切实提高选人用人科学化规范化水平。严格落实干部个人事项、经济责任审计等制度，从严从实监督管理干部。积极选派干部参与巩固脱贫乡村振兴、对口援助或赴教育部、地方政府、高水平大学挂职。做好选调生招考和大学生村官选派工作。制定《合肥工业大学2021-2025年党员干部教育培训规划》，以坚定理想信念宗旨为根本，以提高解决实际问题能力为重点，突出政治训练、政治历练，高质量教育培训干部。完善校院党校一体化教学，利用党校在线教育培训系统，推动线上线下学习有机联动。针对党政干部、党支部书记、年轻干部等不同类别、不同层次精准开展各级各类培训。</w:t>
      </w:r>
    </w:p>
    <w:p>
      <w:pPr>
        <w:adjustRightInd w:val="0"/>
        <w:spacing w:line="560" w:lineRule="exact"/>
        <w:ind w:firstLine="643" w:firstLineChars="200"/>
        <w:contextualSpacing/>
        <w:rPr>
          <w:rFonts w:ascii="仿宋_GB2312" w:hAnsi="宋体" w:eastAsia="仿宋_GB2312" w:cs="宋体"/>
          <w:sz w:val="32"/>
          <w:szCs w:val="32"/>
        </w:rPr>
      </w:pPr>
      <w:r>
        <w:rPr>
          <w:rFonts w:hint="eastAsia" w:ascii="仿宋_GB2312" w:hAnsi="宋体" w:eastAsia="仿宋_GB2312" w:cs="宋体"/>
          <w:b/>
          <w:bCs/>
          <w:sz w:val="32"/>
          <w:szCs w:val="32"/>
        </w:rPr>
        <w:t>狠抓师德师风建设。</w:t>
      </w:r>
      <w:r>
        <w:rPr>
          <w:rFonts w:hint="eastAsia" w:ascii="仿宋_GB2312" w:hAnsi="宋体" w:eastAsia="仿宋_GB2312" w:cs="宋体"/>
          <w:sz w:val="32"/>
          <w:szCs w:val="32"/>
        </w:rPr>
        <w:t>始终把师德师风作为评价教师队伍建设的第一标准，严把入口关、考核关、监督关、惩处关。</w:t>
      </w:r>
      <w:r>
        <w:rPr>
          <w:rFonts w:hint="eastAsia" w:ascii="仿宋_GB2312" w:hAnsi="宋体" w:eastAsia="仿宋_GB2312" w:cs="宋体"/>
          <w:sz w:val="32"/>
          <w:szCs w:val="32"/>
          <w:lang w:val="zh-CN"/>
        </w:rPr>
        <w:t>深入实施《合肥工业大学关于全面深化新时代教师队伍建设改革的实施方案》，完善师德建设长效机制。进一步加强“十项准则”学习宣传和贯彻落实，组织教师参加师德</w:t>
      </w:r>
      <w:r>
        <w:rPr>
          <w:rFonts w:hint="eastAsia" w:ascii="仿宋_GB2312" w:hAnsi="宋体" w:eastAsia="仿宋_GB2312" w:cs="宋体"/>
          <w:sz w:val="32"/>
          <w:szCs w:val="32"/>
        </w:rPr>
        <w:t>专题</w:t>
      </w:r>
      <w:r>
        <w:rPr>
          <w:rFonts w:hint="eastAsia" w:ascii="仿宋_GB2312" w:hAnsi="宋体" w:eastAsia="仿宋_GB2312" w:cs="宋体"/>
          <w:sz w:val="32"/>
          <w:szCs w:val="32"/>
          <w:lang w:val="zh-CN"/>
        </w:rPr>
        <w:t>培训。</w:t>
      </w:r>
      <w:r>
        <w:rPr>
          <w:rFonts w:hint="eastAsia" w:ascii="仿宋_GB2312" w:hAnsi="宋体" w:eastAsia="仿宋_GB2312" w:cs="宋体"/>
          <w:sz w:val="32"/>
          <w:szCs w:val="32"/>
        </w:rPr>
        <w:t>加大力度发现、培养在立德树人方面表现突出的优秀教师典型，讲好工大好老师的故事，塑造工大好老师的典型。开展“光荣从教30年、40年”纪念活动，营造尊师重教氛围。大力弘扬新时代科学家精神，推动形成鼓励创新、潜心研究、水到渠成的创新文化。进一步强化学校师德建设委员会职能，依法依规做好师德违规行为的调查和处理，落实师德考核基层党组织两级负责制，继续执行违规查处通报和报告制度。</w:t>
      </w:r>
    </w:p>
    <w:p>
      <w:pPr>
        <w:adjustRightInd w:val="0"/>
        <w:spacing w:line="560" w:lineRule="exact"/>
        <w:ind w:firstLine="643" w:firstLineChars="200"/>
        <w:contextualSpacing/>
        <w:rPr>
          <w:rFonts w:ascii="仿宋_GB2312" w:hAnsi="宋体" w:eastAsia="仿宋_GB2312" w:cs="宋体"/>
          <w:sz w:val="32"/>
          <w:szCs w:val="32"/>
          <w:lang w:val="zh-CN"/>
        </w:rPr>
      </w:pPr>
      <w:r>
        <w:rPr>
          <w:rFonts w:hint="eastAsia" w:ascii="仿宋_GB2312" w:hAnsi="宋体" w:eastAsia="仿宋_GB2312" w:cs="宋体"/>
          <w:b/>
          <w:bCs/>
          <w:sz w:val="32"/>
          <w:szCs w:val="32"/>
        </w:rPr>
        <w:t>深化人才强校战略。</w:t>
      </w:r>
      <w:r>
        <w:rPr>
          <w:rFonts w:hint="eastAsia" w:ascii="仿宋_GB2312" w:hAnsi="宋体" w:eastAsia="仿宋_GB2312" w:cs="宋体"/>
          <w:sz w:val="32"/>
          <w:szCs w:val="32"/>
          <w:lang w:val="zh-CN"/>
        </w:rPr>
        <w:t>坚持党管人才原则，建设与学校“双一流”发展目标相适应的高水平教师队伍。加大人才引育力度，发挥学院主体作用，重点引进和培育一批在相关学科领域取得突出业绩的学术领军人才以及面向国家发展重大需求、能承担国家重大科研项目的高端工程技术人员，</w:t>
      </w:r>
      <w:r>
        <w:rPr>
          <w:rFonts w:hint="eastAsia" w:ascii="仿宋_GB2312" w:hAnsi="宋体" w:eastAsia="仿宋_GB2312" w:cs="宋体"/>
          <w:sz w:val="32"/>
          <w:szCs w:val="32"/>
        </w:rPr>
        <w:t>建立一支有活力、有潜力、有实力的高层次人才梯队</w:t>
      </w:r>
      <w:r>
        <w:rPr>
          <w:rFonts w:hint="eastAsia" w:ascii="仿宋_GB2312" w:hAnsi="宋体" w:eastAsia="仿宋_GB2312" w:cs="宋体"/>
          <w:sz w:val="32"/>
          <w:szCs w:val="32"/>
          <w:lang w:val="zh-CN"/>
        </w:rPr>
        <w:t>。完善青年教师培养，稳步提升广大青年教师的教学科研能力和水平。</w:t>
      </w:r>
    </w:p>
    <w:p>
      <w:pPr>
        <w:adjustRightInd w:val="0"/>
        <w:spacing w:line="560" w:lineRule="exact"/>
        <w:ind w:firstLine="643" w:firstLineChars="200"/>
        <w:contextualSpacing/>
        <w:rPr>
          <w:rFonts w:ascii="仿宋_GB2312" w:hAnsi="宋体" w:eastAsia="仿宋_GB2312" w:cs="宋体"/>
          <w:sz w:val="32"/>
          <w:szCs w:val="32"/>
          <w:lang w:val="zh-CN"/>
        </w:rPr>
      </w:pPr>
      <w:r>
        <w:rPr>
          <w:rFonts w:hint="eastAsia" w:ascii="仿宋_GB2312" w:hAnsi="宋体" w:eastAsia="仿宋_GB2312" w:cs="宋体"/>
          <w:b/>
          <w:sz w:val="32"/>
          <w:szCs w:val="32"/>
          <w:lang w:val="zh-CN"/>
        </w:rPr>
        <w:t>继续优化考核分配体系。</w:t>
      </w:r>
      <w:r>
        <w:rPr>
          <w:rFonts w:hint="eastAsia" w:ascii="仿宋_GB2312" w:hAnsi="宋体" w:eastAsia="仿宋_GB2312" w:cs="宋体"/>
          <w:sz w:val="32"/>
          <w:szCs w:val="32"/>
        </w:rPr>
        <w:t>深入贯彻落实《深化新时代教育评价改革总体方案》精神，持续推动破“五唯”。</w:t>
      </w:r>
      <w:r>
        <w:rPr>
          <w:rFonts w:hint="eastAsia" w:ascii="仿宋_GB2312" w:hAnsi="宋体" w:eastAsia="仿宋_GB2312" w:cs="宋体"/>
          <w:sz w:val="32"/>
          <w:szCs w:val="32"/>
          <w:lang w:val="zh-CN"/>
        </w:rPr>
        <w:t>进一步理顺分配关系，</w:t>
      </w:r>
      <w:r>
        <w:rPr>
          <w:rFonts w:hint="eastAsia" w:ascii="仿宋_GB2312" w:hAnsi="宋体" w:eastAsia="仿宋_GB2312" w:cs="宋体"/>
          <w:sz w:val="32"/>
          <w:szCs w:val="32"/>
        </w:rPr>
        <w:t>健全校内绩效工资分配和岗位职责、价值评价、实际贡献挂钩机制。完善“教学、科研与公共服务”三元结构激励为主体的教学科研绩效分配体系，强化以目标管理为抓手的后勤、产业绩效考核制度，健全“责权明晰、风险可控、激励有效”的分级管理体系，全方位实现管理重心下移和全面绩效管理，深入推进治理体系与治理能力现代化。</w:t>
      </w:r>
    </w:p>
    <w:p>
      <w:pPr>
        <w:spacing w:line="560" w:lineRule="exact"/>
        <w:ind w:firstLine="640" w:firstLineChars="200"/>
        <w:contextualSpacing/>
        <w:outlineLvl w:val="0"/>
        <w:rPr>
          <w:rStyle w:val="9"/>
          <w:rFonts w:ascii="黑体" w:hAnsi="黑体" w:eastAsia="黑体" w:cs="宋体"/>
          <w:bCs/>
          <w:sz w:val="32"/>
          <w:szCs w:val="32"/>
          <w:u w:val="none"/>
        </w:rPr>
      </w:pPr>
      <w:r>
        <w:rPr>
          <w:rStyle w:val="9"/>
          <w:rFonts w:hint="eastAsia" w:ascii="黑体" w:hAnsi="黑体" w:eastAsia="黑体" w:cs="宋体"/>
          <w:bCs/>
          <w:sz w:val="32"/>
          <w:szCs w:val="32"/>
          <w:u w:val="none"/>
          <w:lang w:val="zh-CN"/>
        </w:rPr>
        <w:t>六、</w:t>
      </w:r>
      <w:r>
        <w:rPr>
          <w:rStyle w:val="9"/>
          <w:rFonts w:hint="eastAsia" w:ascii="黑体" w:hAnsi="黑体" w:eastAsia="黑体" w:cs="宋体"/>
          <w:bCs/>
          <w:sz w:val="32"/>
          <w:szCs w:val="32"/>
          <w:u w:val="none"/>
        </w:rPr>
        <w:t>提升</w:t>
      </w:r>
      <w:r>
        <w:rPr>
          <w:rStyle w:val="9"/>
          <w:rFonts w:hint="eastAsia" w:ascii="黑体" w:hAnsi="黑体" w:eastAsia="黑体" w:cs="宋体"/>
          <w:bCs/>
          <w:sz w:val="32"/>
          <w:szCs w:val="32"/>
          <w:u w:val="none"/>
          <w:lang w:val="zh-CN"/>
        </w:rPr>
        <w:t>管理水平与保障</w:t>
      </w:r>
      <w:r>
        <w:rPr>
          <w:rStyle w:val="9"/>
          <w:rFonts w:hint="eastAsia" w:ascii="黑体" w:hAnsi="黑体" w:eastAsia="黑体" w:cs="宋体"/>
          <w:bCs/>
          <w:sz w:val="32"/>
          <w:szCs w:val="32"/>
          <w:u w:val="none"/>
        </w:rPr>
        <w:t>能力</w:t>
      </w:r>
    </w:p>
    <w:p>
      <w:pPr>
        <w:adjustRightInd w:val="0"/>
        <w:spacing w:line="560" w:lineRule="exact"/>
        <w:ind w:firstLine="643" w:firstLineChars="200"/>
        <w:contextualSpacing/>
        <w:rPr>
          <w:rFonts w:ascii="仿宋_GB2312" w:hAnsi="Arial" w:eastAsia="仿宋_GB2312" w:cs="宋体"/>
          <w:sz w:val="32"/>
          <w:szCs w:val="32"/>
          <w:shd w:val="clear" w:color="auto" w:fill="FFFFFF"/>
        </w:rPr>
      </w:pPr>
      <w:r>
        <w:rPr>
          <w:rFonts w:hint="eastAsia" w:ascii="仿宋_GB2312" w:hAnsi="宋体" w:eastAsia="仿宋_GB2312" w:cs="宋体"/>
          <w:b/>
          <w:sz w:val="32"/>
          <w:szCs w:val="32"/>
        </w:rPr>
        <w:t>提高治校兴校能力和水平。</w:t>
      </w:r>
      <w:r>
        <w:rPr>
          <w:rFonts w:hint="eastAsia" w:ascii="仿宋_GB2312" w:hAnsi="宋体" w:eastAsia="仿宋_GB2312" w:cs="宋体"/>
          <w:sz w:val="32"/>
          <w:szCs w:val="32"/>
        </w:rPr>
        <w:t>进一步完善“党委领导、校长负责、教授治学、民主管理”的学校治理体系，深入贯彻落实党委领导下的校长负责制，严格执行民主集中制原则和“三重一大”决策议事程序。加强学校领导班子建设，增强学校领导班子及成员把握全局、推动发展的谋划能力和决策水平。深入实施学校“十四五”事业发展规划和各专项规划。继续深化制度废改立，构建系统完备、科学规范、运行有效的制度体系，发挥制度在学校建设与发展中的刚性作用。推进依法治校，增强法治思维，提高法治能力。优化工作流程，增强服务意识，不断提高职能部门服务能力和工作水平。统筹行使学术事务职权，构建完善的学术事务管理体系。积极争取教育部、安徽省、合肥市、宣城市等对学校改革发展的资金和政策支持。</w:t>
      </w:r>
    </w:p>
    <w:p>
      <w:pPr>
        <w:adjustRightInd w:val="0"/>
        <w:spacing w:line="560" w:lineRule="exact"/>
        <w:ind w:firstLine="643" w:firstLineChars="200"/>
        <w:contextualSpacing/>
        <w:rPr>
          <w:rFonts w:ascii="仿宋_GB2312" w:hAnsi="宋体" w:eastAsia="仿宋_GB2312" w:cs="宋体"/>
          <w:sz w:val="32"/>
          <w:szCs w:val="32"/>
        </w:rPr>
      </w:pPr>
      <w:r>
        <w:rPr>
          <w:rFonts w:hint="eastAsia" w:ascii="仿宋_GB2312" w:hAnsi="Arial" w:eastAsia="仿宋_GB2312" w:cs="宋体"/>
          <w:b/>
          <w:bCs/>
          <w:sz w:val="32"/>
          <w:szCs w:val="32"/>
          <w:shd w:val="clear" w:color="auto" w:fill="FFFFFF"/>
        </w:rPr>
        <w:t>深入推进</w:t>
      </w:r>
      <w:r>
        <w:rPr>
          <w:rFonts w:hint="eastAsia" w:ascii="仿宋_GB2312" w:hAnsi="Arial" w:eastAsia="仿宋_GB2312" w:cs="Arial"/>
          <w:b/>
          <w:bCs/>
          <w:sz w:val="32"/>
          <w:szCs w:val="32"/>
          <w:shd w:val="clear" w:color="auto" w:fill="FFFFFF"/>
        </w:rPr>
        <w:t>校院两级管理</w:t>
      </w:r>
      <w:r>
        <w:rPr>
          <w:rFonts w:hint="eastAsia" w:ascii="仿宋_GB2312" w:hAnsi="Arial" w:eastAsia="仿宋_GB2312" w:cs="宋体"/>
          <w:b/>
          <w:bCs/>
          <w:sz w:val="32"/>
          <w:szCs w:val="32"/>
          <w:shd w:val="clear" w:color="auto" w:fill="FFFFFF"/>
        </w:rPr>
        <w:t>。</w:t>
      </w:r>
      <w:r>
        <w:rPr>
          <w:rFonts w:hint="eastAsia" w:ascii="仿宋_GB2312" w:hAnsi="Arial" w:eastAsia="仿宋_GB2312" w:cs="宋体"/>
          <w:sz w:val="32"/>
          <w:szCs w:val="32"/>
          <w:shd w:val="clear" w:color="auto" w:fill="FFFFFF"/>
        </w:rPr>
        <w:t>认真落实放管服精神，</w:t>
      </w:r>
      <w:r>
        <w:rPr>
          <w:rFonts w:hint="eastAsia" w:ascii="仿宋_GB2312" w:hAnsi="宋体" w:eastAsia="仿宋_GB2312" w:cs="宋体"/>
          <w:sz w:val="32"/>
          <w:szCs w:val="32"/>
        </w:rPr>
        <w:t>深化校院两级管理体制机制改革，争取出台校院两级管理试点办法，探索建立健全学校宏观管理、学院自主管理运行的校院两级管理体制，不断构建学校目标管理、部门协调服务、学院实体化运作的管理模式和制度体系，努力形成校院两级职责明晰、运行规范、充满活力、协调发展的管理运行机制，最终实现由“校办学为主”向“院办学为主”的转变。</w:t>
      </w:r>
    </w:p>
    <w:p>
      <w:pPr>
        <w:adjustRightInd w:val="0"/>
        <w:spacing w:line="560" w:lineRule="exact"/>
        <w:ind w:firstLine="643" w:firstLineChars="200"/>
        <w:contextualSpacing/>
        <w:rPr>
          <w:rFonts w:ascii="仿宋_GB2312" w:hAnsi="宋体" w:eastAsia="仿宋_GB2312" w:cs="宋体"/>
          <w:sz w:val="32"/>
          <w:szCs w:val="32"/>
        </w:rPr>
      </w:pPr>
      <w:r>
        <w:rPr>
          <w:rFonts w:hint="eastAsia" w:ascii="仿宋_GB2312" w:hAnsi="宋体" w:eastAsia="仿宋_GB2312" w:cs="宋体"/>
          <w:b/>
          <w:sz w:val="32"/>
          <w:szCs w:val="32"/>
        </w:rPr>
        <w:t>提升内部审计工作实效。</w:t>
      </w:r>
      <w:r>
        <w:rPr>
          <w:rFonts w:hint="eastAsia" w:ascii="仿宋_GB2312" w:hAnsi="宋体" w:eastAsia="仿宋_GB2312" w:cs="宋体"/>
          <w:sz w:val="32"/>
          <w:szCs w:val="32"/>
        </w:rPr>
        <w:t>充分发挥审计委员会作用，健全审计工作协调机制，增强审计监督合力，真正发挥内部审计“治已病，防未病”作用。积极落实教育部对书记校长任职期间经济责任审计发现问题整改工作。做好领导干部任期经济责任审计。实现建设工程审计全覆盖。加强对入围的社会中介机构管理，进一步提升社会中介机构审计质量。继续加强审计管理信息平台建设。</w:t>
      </w:r>
    </w:p>
    <w:p>
      <w:pPr>
        <w:adjustRightInd w:val="0"/>
        <w:spacing w:line="560" w:lineRule="exact"/>
        <w:ind w:firstLine="643" w:firstLineChars="200"/>
        <w:contextualSpacing/>
        <w:rPr>
          <w:rFonts w:ascii="仿宋_GB2312" w:hAnsi="宋体" w:eastAsia="仿宋_GB2312" w:cs="宋体"/>
          <w:b/>
          <w:bCs/>
          <w:sz w:val="32"/>
          <w:szCs w:val="32"/>
        </w:rPr>
      </w:pPr>
      <w:r>
        <w:rPr>
          <w:rFonts w:hint="eastAsia" w:ascii="仿宋_GB2312" w:hAnsi="宋体" w:eastAsia="仿宋_GB2312" w:cs="宋体"/>
          <w:b/>
          <w:bCs/>
          <w:sz w:val="32"/>
          <w:szCs w:val="32"/>
        </w:rPr>
        <w:t>增强学校发展的财力保障。</w:t>
      </w:r>
      <w:r>
        <w:rPr>
          <w:rFonts w:hint="eastAsia" w:ascii="仿宋_GB2312" w:hAnsi="宋体" w:eastAsia="仿宋_GB2312" w:cs="宋体"/>
          <w:bCs/>
          <w:sz w:val="32"/>
          <w:szCs w:val="32"/>
        </w:rPr>
        <w:t>正确认识当前面临的外部财政环境，贯彻“政策先导、财业融合、提质增效、开源节流”财务管理理念。</w:t>
      </w:r>
      <w:r>
        <w:rPr>
          <w:rFonts w:hint="eastAsia" w:ascii="仿宋_GB2312" w:hAnsi="宋体" w:eastAsia="仿宋_GB2312" w:cs="宋体"/>
          <w:sz w:val="32"/>
          <w:szCs w:val="32"/>
          <w:lang w:val="zh-CN"/>
        </w:rPr>
        <w:t>贯彻中央“过紧日子”要求，优化学校财源结构，多途径筹措办学资源。</w:t>
      </w:r>
      <w:r>
        <w:rPr>
          <w:rFonts w:hint="eastAsia" w:ascii="仿宋_GB2312" w:hAnsi="宋体" w:eastAsia="仿宋_GB2312" w:cs="宋体"/>
          <w:bCs/>
          <w:sz w:val="32"/>
          <w:szCs w:val="32"/>
        </w:rPr>
        <w:t>深化财务管理改革，实现由全链条管理向资源配置与绩效管理转变、由一刀切管理向个性化服务转变、由简单核算向决策支持转变、由事前监督向事后监督转变，推进财务更好地服务立德树人和“双一流”建设。围绕财业融合+智慧服务，推进管理制度化、制度流程化、流程信息化、决策智能化、服务个性化改革。继续深化驻院会计制度，扩大驻院会计的业务范围，为学院提供更多的、更个性化的财务服务。</w:t>
      </w:r>
      <w:r>
        <w:rPr>
          <w:rFonts w:hint="eastAsia" w:ascii="仿宋_GB2312" w:hAnsi="宋体" w:eastAsia="仿宋_GB2312" w:cs="宋体"/>
          <w:sz w:val="32"/>
          <w:szCs w:val="32"/>
          <w:lang w:val="zh-CN"/>
        </w:rPr>
        <w:t>加强财务内控制度建设，强化财务稽查和监督。进一步强化“统一领导、归口管理、分级负责、责任到人”的管理体制，加强国有资产全生命周期管理信息系统建设。探索建立国有资产管理的绩效考核机制。继续做好宣城校区资产移交和接收工作。</w:t>
      </w:r>
    </w:p>
    <w:p>
      <w:pPr>
        <w:adjustRightInd w:val="0"/>
        <w:spacing w:line="560" w:lineRule="exact"/>
        <w:ind w:firstLine="643" w:firstLineChars="200"/>
        <w:contextualSpacing/>
        <w:rPr>
          <w:rFonts w:ascii="仿宋_GB2312" w:hAnsi="宋体" w:eastAsia="仿宋_GB2312" w:cs="宋体"/>
          <w:sz w:val="32"/>
          <w:szCs w:val="32"/>
          <w:lang w:val="zh-CN"/>
        </w:rPr>
      </w:pPr>
      <w:r>
        <w:rPr>
          <w:rFonts w:hint="eastAsia" w:ascii="仿宋_GB2312" w:hAnsi="宋体" w:eastAsia="仿宋_GB2312" w:cs="宋体"/>
          <w:b/>
          <w:bCs/>
          <w:sz w:val="32"/>
          <w:szCs w:val="32"/>
        </w:rPr>
        <w:t>提升基础保障能力。</w:t>
      </w:r>
      <w:r>
        <w:rPr>
          <w:rFonts w:hint="eastAsia" w:ascii="仿宋_GB2312" w:hAnsi="宋体" w:eastAsia="仿宋_GB2312" w:cs="宋体"/>
          <w:sz w:val="32"/>
          <w:szCs w:val="32"/>
          <w:lang w:val="zh-CN"/>
        </w:rPr>
        <w:t>深入实施银校合作项目，加强智慧校园建设，提升学校信息化水平，推进多校区办学资源共联共享。健全实验室安全监管责任体系和长效工作机制，</w:t>
      </w:r>
      <w:r>
        <w:rPr>
          <w:rFonts w:hint="eastAsia" w:ascii="仿宋_GB2312" w:hAnsi="宋体" w:eastAsia="仿宋_GB2312" w:cs="宋体"/>
          <w:sz w:val="32"/>
          <w:szCs w:val="32"/>
        </w:rPr>
        <w:t>落实学校、学院、实验室三级安全责任体系，</w:t>
      </w:r>
      <w:r>
        <w:rPr>
          <w:rFonts w:hint="eastAsia" w:ascii="仿宋_GB2312" w:hAnsi="宋体" w:eastAsia="仿宋_GB2312" w:cs="宋体"/>
          <w:sz w:val="32"/>
          <w:szCs w:val="32"/>
          <w:lang w:val="zh-CN"/>
        </w:rPr>
        <w:t>强化安全风险防控意识和能力，加强实验室安全信息化与系统化建设。建设校级大型精密仪器共享管理平台，实现大型仪器共享、开放、高效运行和科学管理，不断提升分析测试中心CMA实验室测试水平。加强各类图书资源、馆舍条件与文化环境建设。构建“责权明晰、制度完善、管理精细、服务规范、监督有效、保障有力”的后勤服务保障体系，发挥后勤服务育人功能，全面提升后勤服务保障能力。完善“三中心”目标管理方案。积极推进学校水电目标管理和教职工住宅区物业化管理。完成工程管理与智能制造研究中心、高电压与绝缘实验室建设项目，</w:t>
      </w:r>
      <w:r>
        <w:rPr>
          <w:rFonts w:hint="eastAsia" w:ascii="仿宋_GB2312" w:hAnsi="宋体" w:eastAsia="仿宋_GB2312" w:cs="宋体"/>
          <w:sz w:val="32"/>
          <w:szCs w:val="32"/>
        </w:rPr>
        <w:t>推进</w:t>
      </w:r>
      <w:r>
        <w:rPr>
          <w:rFonts w:hint="eastAsia" w:ascii="仿宋_GB2312" w:hAnsi="宋体" w:eastAsia="仿宋_GB2312" w:cs="宋体"/>
          <w:sz w:val="32"/>
          <w:szCs w:val="32"/>
          <w:lang w:val="zh-CN"/>
        </w:rPr>
        <w:t>产学研综合楼、工程训练中心等项目实施。推进宣城校区生化楼、文理楼建设，积极谋划宣城校区二期运动场建设。开展绿色校园创建行动，实施劳动教育，美化校园环境。加大教职工住宅区生活环境整治力度，配合做好屯溪路校区、六安路校区老旧小区整治改造收尾工作。积极推进六安路校区中院置换工作。推进校医院创建二级综合医院，加强校医院与安徽医科大学第一附属医院紧密型医联体建设工作。继续做好档案馆、学报杂志社、专职科研机构、继续教育、附属中学等工作。</w:t>
      </w:r>
    </w:p>
    <w:p>
      <w:pPr>
        <w:adjustRightInd w:val="0"/>
        <w:spacing w:line="560" w:lineRule="exact"/>
        <w:ind w:firstLine="643" w:firstLineChars="200"/>
        <w:contextualSpacing/>
        <w:rPr>
          <w:rFonts w:ascii="仿宋_GB2312" w:hAnsi="宋体" w:eastAsia="仿宋_GB2312" w:cs="宋体"/>
          <w:sz w:val="32"/>
          <w:szCs w:val="32"/>
          <w:lang w:val="zh-CN"/>
        </w:rPr>
      </w:pPr>
      <w:r>
        <w:rPr>
          <w:rFonts w:hint="eastAsia" w:ascii="仿宋_GB2312" w:hAnsi="宋体" w:eastAsia="仿宋_GB2312" w:cs="宋体"/>
          <w:b/>
          <w:bCs/>
          <w:sz w:val="32"/>
          <w:szCs w:val="32"/>
        </w:rPr>
        <w:t>深化对外交流与合作。</w:t>
      </w:r>
      <w:r>
        <w:rPr>
          <w:rFonts w:hint="eastAsia" w:ascii="仿宋_GB2312" w:hAnsi="宋体" w:eastAsia="仿宋_GB2312" w:cs="宋体"/>
          <w:sz w:val="32"/>
          <w:szCs w:val="32"/>
          <w:lang w:val="zh-CN"/>
        </w:rPr>
        <w:t>推进高水平实质性国际科技合作。加强与世界知名高校和“一带一路”沿线国家高校开展特色学生联合培养或中外合作办学项目。积极开展中外人文交流，提升学校在教学科研、人才培养等方面的国际合作层次与成效，规划新时代学校教育对外开放的合作版图。继续做好各类中外（境外）合作办学项目、联合培养项目和中短期交流学习项目，优化项目质量。积极开发海外教育市场，加强多元文化建设，打造“留学工大”特色品牌。推进与港澳台高校、国内外高水平大学的交流与合作。做好对口支援北方民族大学和新疆农业大学工作。</w:t>
      </w:r>
    </w:p>
    <w:p>
      <w:pPr>
        <w:adjustRightInd w:val="0"/>
        <w:spacing w:line="560" w:lineRule="exact"/>
        <w:ind w:firstLine="643" w:firstLineChars="200"/>
        <w:contextualSpacing/>
        <w:rPr>
          <w:rFonts w:ascii="仿宋_GB2312" w:hAnsi="宋体" w:eastAsia="仿宋_GB2312" w:cs="宋体"/>
          <w:sz w:val="32"/>
          <w:szCs w:val="32"/>
          <w:lang w:val="zh-CN"/>
        </w:rPr>
      </w:pPr>
      <w:r>
        <w:rPr>
          <w:rFonts w:hint="eastAsia" w:ascii="仿宋_GB2312" w:hAnsi="宋体" w:eastAsia="仿宋_GB2312" w:cs="宋体"/>
          <w:b/>
          <w:bCs/>
          <w:sz w:val="32"/>
          <w:szCs w:val="32"/>
        </w:rPr>
        <w:t>加强校友工作。</w:t>
      </w:r>
      <w:r>
        <w:rPr>
          <w:rFonts w:hint="eastAsia" w:ascii="仿宋_GB2312" w:hAnsi="宋体" w:eastAsia="仿宋_GB2312" w:cs="宋体"/>
          <w:sz w:val="32"/>
          <w:szCs w:val="32"/>
          <w:lang w:val="zh-CN"/>
        </w:rPr>
        <w:t>落实校院两级统筹协调的校友工作机制，充分发挥学院在校友会、基金会工作中的基础性作用，推进成立学院校友分会。继续深化校友组织建设，鼓励区域内成立行业校友会。推进部分地区校友会换届，适时完成安徽省合肥工业大学校友会换届工作。创新校友工作形式，完善校友信息库建设，探索互利互惠、合作共赢的学校与校友间合作机制。加强理事会建设，充分发挥理事在学校建设发展中的把诊问脉、资源链接、智力支持作用。</w:t>
      </w:r>
    </w:p>
    <w:p>
      <w:pPr>
        <w:adjustRightInd w:val="0"/>
        <w:spacing w:line="560" w:lineRule="exact"/>
        <w:ind w:firstLine="640" w:firstLineChars="200"/>
        <w:contextualSpacing/>
        <w:rPr>
          <w:rStyle w:val="9"/>
          <w:rFonts w:ascii="黑体" w:hAnsi="黑体" w:eastAsia="黑体" w:cs="宋体"/>
          <w:sz w:val="32"/>
          <w:szCs w:val="32"/>
          <w:u w:val="none"/>
        </w:rPr>
      </w:pPr>
      <w:r>
        <w:rPr>
          <w:rStyle w:val="9"/>
          <w:rFonts w:hint="eastAsia" w:ascii="黑体" w:hAnsi="黑体" w:eastAsia="黑体" w:cs="宋体"/>
          <w:sz w:val="32"/>
          <w:szCs w:val="32"/>
          <w:u w:val="none"/>
        </w:rPr>
        <w:t>七、汇聚推动学校发展的强大力量</w:t>
      </w:r>
    </w:p>
    <w:p>
      <w:pPr>
        <w:spacing w:line="560" w:lineRule="exact"/>
        <w:ind w:firstLine="643" w:firstLineChars="200"/>
        <w:contextualSpacing/>
        <w:textAlignment w:val="baseline"/>
        <w:rPr>
          <w:rFonts w:ascii="仿宋_GB2312" w:eastAsia="仿宋_GB2312" w:cs="宋体"/>
          <w:smallCaps/>
          <w:kern w:val="0"/>
          <w:sz w:val="32"/>
          <w:szCs w:val="32"/>
        </w:rPr>
      </w:pPr>
      <w:r>
        <w:rPr>
          <w:rFonts w:hint="eastAsia" w:ascii="仿宋_GB2312" w:eastAsia="仿宋_GB2312" w:cs="宋体"/>
          <w:b/>
          <w:bCs/>
          <w:smallCaps/>
          <w:kern w:val="0"/>
          <w:sz w:val="32"/>
          <w:szCs w:val="32"/>
        </w:rPr>
        <w:t>推进校园文化建设。</w:t>
      </w:r>
      <w:r>
        <w:rPr>
          <w:rFonts w:hint="eastAsia" w:ascii="仿宋_GB2312" w:hAnsi="Arial" w:eastAsia="仿宋_GB2312" w:cs="宋体"/>
          <w:sz w:val="32"/>
          <w:szCs w:val="32"/>
          <w:shd w:val="clear" w:color="auto" w:fill="FFFFFF"/>
        </w:rPr>
        <w:t>坚持社会主义先进文化前进方向，发扬为民服务孺子牛、创新发展拓荒牛、艰苦奋斗老黄牛精神，</w:t>
      </w:r>
      <w:r>
        <w:rPr>
          <w:rFonts w:hint="eastAsia" w:ascii="仿宋_GB2312" w:eastAsia="仿宋_GB2312" w:cs="宋体"/>
          <w:smallCaps/>
          <w:kern w:val="0"/>
          <w:sz w:val="32"/>
          <w:szCs w:val="32"/>
        </w:rPr>
        <w:t>积极开展校园精神文明和校园文化建设，大力弘扬工大精神，深入挖掘校史校训的丰富内涵，充分发挥校训、校歌、校史的文化育人功能，</w:t>
      </w:r>
      <w:r>
        <w:rPr>
          <w:rFonts w:hint="eastAsia" w:ascii="仿宋_GB2312" w:hAnsi="宋体" w:eastAsia="仿宋_GB2312" w:cs="宋体"/>
          <w:sz w:val="32"/>
          <w:szCs w:val="32"/>
          <w:lang w:val="zh-CN"/>
        </w:rPr>
        <w:t>充分发挥校史馆传承学校文化和展现学校精神等育人和宣传功能</w:t>
      </w:r>
      <w:r>
        <w:rPr>
          <w:rFonts w:hint="eastAsia" w:ascii="仿宋_GB2312" w:eastAsia="仿宋_GB2312" w:cs="宋体"/>
          <w:smallCaps/>
          <w:kern w:val="0"/>
          <w:sz w:val="32"/>
          <w:szCs w:val="32"/>
        </w:rPr>
        <w:t>，增强学校的文化软实力</w:t>
      </w:r>
      <w:r>
        <w:rPr>
          <w:rFonts w:hint="eastAsia" w:ascii="仿宋_GB2312" w:hAnsi="宋体" w:eastAsia="仿宋_GB2312" w:cs="宋体"/>
          <w:sz w:val="32"/>
          <w:szCs w:val="32"/>
          <w:lang w:val="zh-CN"/>
        </w:rPr>
        <w:t>。</w:t>
      </w:r>
      <w:r>
        <w:rPr>
          <w:rFonts w:hint="eastAsia" w:ascii="仿宋_GB2312" w:eastAsia="仿宋_GB2312" w:cs="宋体"/>
          <w:smallCaps/>
          <w:kern w:val="0"/>
          <w:sz w:val="32"/>
          <w:szCs w:val="32"/>
        </w:rPr>
        <w:t>讲好工大故事，弘扬工大精神文化。大力开展“礼敬中华优秀文化传统”活动，积极组织斛兵文化大讲堂、“翰墨书香”经典诵读、国学大讲堂、“我们的节日”等活动，实现“一院一品”项目品牌化建设。推动学院凝炼文化内涵、打造文化品牌，建设学院文化展示区，培育校园文化建设优秀成果。</w:t>
      </w:r>
      <w:r>
        <w:rPr>
          <w:rFonts w:hint="eastAsia" w:ascii="仿宋_GB2312" w:hAnsi="Arial" w:eastAsia="仿宋_GB2312" w:cs="宋体"/>
          <w:sz w:val="32"/>
          <w:szCs w:val="32"/>
          <w:shd w:val="clear" w:color="auto" w:fill="FFFFFF"/>
        </w:rPr>
        <w:t>深入推进重大新闻选题运行机制和融媒体中心建设，立体化展现学校在人才培养、科学研究、社会服务、文化传承、国际合作与交流等方面的新举措新成效。力争在中央、省级主流媒体刊发深度报道不少于40篇，力争进入教育部融媒体建设试点单位。持续推进文明校园建设，积极营造凝心聚力、团结奋进、埋头苦干、追求卓越的校园文化和人文环境，形成文明和谐的校园文化氛围。</w:t>
      </w:r>
    </w:p>
    <w:p>
      <w:pPr>
        <w:spacing w:line="560" w:lineRule="exact"/>
        <w:ind w:firstLine="643" w:firstLineChars="200"/>
        <w:contextualSpacing/>
        <w:rPr>
          <w:rFonts w:ascii="仿宋_GB2312" w:eastAsia="仿宋_GB2312" w:cs="宋体"/>
          <w:smallCaps/>
          <w:kern w:val="0"/>
          <w:sz w:val="32"/>
          <w:szCs w:val="32"/>
        </w:rPr>
      </w:pPr>
      <w:r>
        <w:rPr>
          <w:rFonts w:hint="eastAsia" w:ascii="仿宋_GB2312" w:eastAsia="仿宋_GB2312" w:cs="宋体"/>
          <w:b/>
          <w:bCs/>
          <w:smallCaps/>
          <w:kern w:val="0"/>
          <w:sz w:val="32"/>
          <w:szCs w:val="32"/>
        </w:rPr>
        <w:t>推动统战工作提质增效。</w:t>
      </w:r>
      <w:r>
        <w:rPr>
          <w:rFonts w:hint="eastAsia" w:ascii="仿宋_GB2312" w:eastAsia="仿宋_GB2312" w:cs="宋体"/>
          <w:smallCaps/>
          <w:kern w:val="0"/>
          <w:sz w:val="32"/>
          <w:szCs w:val="32"/>
        </w:rPr>
        <w:t>认真做好各民主党派和统战团体的增选、换届工作，加强对党外代表人士的培养力度，不断完善党外代表人士（党外干部）数据库建设，加强对党外代表人士的综合评价。指导各民主党派和统战团体加强政治理论学习，支持各民主党派基层组织加强自身建设。鼓励支持党外代表人士双岗建功、参政议政，为学校“双一流”建设做出新贡献。认真落实党的侨务政策和民族宗教政策，做好校侨联工作。搭建有效平台，开展特色活动，用好统战法宝，构建“大统战”格局。认真开展新时代高校统战理论和实践工作研究，提高统战工作科学化水平，推动高质量发展。</w:t>
      </w:r>
    </w:p>
    <w:p>
      <w:pPr>
        <w:spacing w:line="560" w:lineRule="exact"/>
        <w:ind w:firstLine="643" w:firstLineChars="200"/>
        <w:contextualSpacing/>
        <w:rPr>
          <w:rFonts w:ascii="仿宋_GB2312" w:eastAsia="仿宋_GB2312" w:cs="宋体"/>
          <w:smallCaps/>
          <w:kern w:val="0"/>
          <w:sz w:val="32"/>
          <w:szCs w:val="32"/>
        </w:rPr>
      </w:pPr>
      <w:r>
        <w:rPr>
          <w:rFonts w:hint="eastAsia" w:ascii="仿宋_GB2312" w:eastAsia="仿宋_GB2312" w:cs="宋体"/>
          <w:b/>
          <w:bCs/>
          <w:smallCaps/>
          <w:kern w:val="0"/>
          <w:sz w:val="32"/>
          <w:szCs w:val="32"/>
        </w:rPr>
        <w:t>持续优化离退休工作。</w:t>
      </w:r>
      <w:r>
        <w:rPr>
          <w:rFonts w:hint="eastAsia" w:ascii="仿宋_GB2312" w:eastAsia="仿宋_GB2312" w:cs="宋体"/>
          <w:smallCaps/>
          <w:kern w:val="0"/>
          <w:sz w:val="32"/>
          <w:szCs w:val="32"/>
        </w:rPr>
        <w:t>用心用情做好新时代离退休工作，进一步加强离退休职工政治建设、思想建设和党组织建设，深入开展精准帮扶离休干部、精准帮扶特困退休职工等“六个精准服务”，推进离退休工作精细管理，保障离退休职工政治待遇和生活待遇。进一步发挥“五老”作用，发挥离退休职工正能量，开展好“读懂中国”活动，办好“青马班”，做实做深做新关心下一代工作。</w:t>
      </w:r>
    </w:p>
    <w:p>
      <w:pPr>
        <w:spacing w:line="560" w:lineRule="exact"/>
        <w:ind w:firstLine="643" w:firstLineChars="200"/>
        <w:contextualSpacing/>
        <w:rPr>
          <w:rFonts w:ascii="仿宋_GB2312" w:eastAsia="仿宋_GB2312" w:cs="宋体"/>
          <w:smallCaps/>
          <w:kern w:val="0"/>
          <w:sz w:val="32"/>
          <w:szCs w:val="32"/>
        </w:rPr>
      </w:pPr>
      <w:r>
        <w:rPr>
          <w:rFonts w:hint="eastAsia" w:ascii="仿宋_GB2312" w:eastAsia="仿宋_GB2312" w:cs="宋体"/>
          <w:b/>
          <w:bCs/>
          <w:smallCaps/>
          <w:kern w:val="0"/>
          <w:sz w:val="32"/>
          <w:szCs w:val="32"/>
        </w:rPr>
        <w:t>充分发挥群团组织作用。</w:t>
      </w:r>
      <w:r>
        <w:rPr>
          <w:rFonts w:hint="eastAsia" w:ascii="仿宋_GB2312" w:eastAsia="仿宋_GB2312" w:cs="宋体" w:hAnsiTheme="minorEastAsia"/>
          <w:kern w:val="0"/>
          <w:sz w:val="32"/>
          <w:szCs w:val="32"/>
        </w:rPr>
        <w:t>全面贯彻落实学校第九届教代会暨第十七届工代会各项部署，落实教代会年会和二级教代会制度，依法保障教职工对学校重大改革和师生重要利益事项的知情权、参与权和监督权。</w:t>
      </w:r>
      <w:r>
        <w:rPr>
          <w:rFonts w:hint="eastAsia" w:ascii="仿宋_GB2312" w:eastAsia="仿宋_GB2312" w:cs="宋体"/>
          <w:smallCaps/>
          <w:kern w:val="0"/>
          <w:sz w:val="32"/>
          <w:szCs w:val="32"/>
        </w:rPr>
        <w:t>深入开展学习宣传全国劳动模范和先进工作者活动，</w:t>
      </w:r>
      <w:r>
        <w:rPr>
          <w:rFonts w:hint="eastAsia" w:ascii="仿宋_GB2312" w:eastAsia="仿宋_GB2312" w:cs="宋体" w:hAnsiTheme="minorEastAsia"/>
          <w:kern w:val="0"/>
          <w:sz w:val="32"/>
          <w:szCs w:val="32"/>
        </w:rPr>
        <w:t>广泛开展劳动技能竞赛，激发教职工创新创造活力</w:t>
      </w:r>
      <w:r>
        <w:rPr>
          <w:rFonts w:hint="eastAsia" w:ascii="仿宋_GB2312" w:eastAsia="仿宋_GB2312" w:cs="宋体"/>
          <w:smallCaps/>
          <w:kern w:val="0"/>
          <w:sz w:val="32"/>
          <w:szCs w:val="32"/>
        </w:rPr>
        <w:t>。</w:t>
      </w:r>
      <w:r>
        <w:rPr>
          <w:rFonts w:hint="eastAsia" w:ascii="仿宋_GB2312" w:eastAsia="仿宋_GB2312" w:cs="宋体" w:hAnsiTheme="minorEastAsia"/>
          <w:kern w:val="0"/>
          <w:sz w:val="32"/>
          <w:szCs w:val="32"/>
        </w:rPr>
        <w:t>做好幼儿园维修加固改造，努力解决翡翠湖校区青年教师子女就地入学入托需求。充分发挥好共青团在引领凝聚青年、组织动员青年、联系服务青年中的重要作用，</w:t>
      </w:r>
      <w:r>
        <w:rPr>
          <w:rFonts w:hint="eastAsia" w:ascii="仿宋_GB2312" w:eastAsia="仿宋_GB2312" w:cs="宋体"/>
          <w:smallCaps/>
          <w:kern w:val="0"/>
          <w:sz w:val="32"/>
          <w:szCs w:val="32"/>
        </w:rPr>
        <w:t>强化“青年大学习”行动，实施“榜样示范引领”工程，推进“团干能力提升”计划，</w:t>
      </w:r>
      <w:r>
        <w:rPr>
          <w:rFonts w:hint="eastAsia" w:ascii="仿宋_GB2312" w:eastAsia="仿宋_GB2312" w:cs="宋体" w:hAnsiTheme="minorEastAsia"/>
          <w:kern w:val="0"/>
          <w:sz w:val="32"/>
          <w:szCs w:val="32"/>
        </w:rPr>
        <w:t>组织动员广大青年在深入基层的过程中了解世情国情党情，在实现全面建设社会主义现代化国家新征程中贡献青春力量。</w:t>
      </w:r>
      <w:r>
        <w:rPr>
          <w:rFonts w:hint="eastAsia" w:ascii="仿宋_GB2312" w:eastAsia="仿宋_GB2312" w:cs="宋体"/>
          <w:smallCaps/>
          <w:kern w:val="0"/>
          <w:sz w:val="32"/>
          <w:szCs w:val="32"/>
        </w:rPr>
        <w:t>持续开展团的基层组织规范化、标准化建设，持续优化团属网络阵地的平台建设、内容建设、团队建设。推进学生社团改革，巩固和完善学生会（研究生会）改革成果，开创学生社团运行新局面。</w:t>
      </w:r>
    </w:p>
    <w:p>
      <w:pPr>
        <w:spacing w:line="560" w:lineRule="exact"/>
        <w:ind w:firstLine="643" w:firstLineChars="200"/>
        <w:contextualSpacing/>
        <w:rPr>
          <w:rFonts w:ascii="仿宋_GB2312" w:eastAsia="仿宋_GB2312" w:cs="宋体"/>
          <w:smallCaps/>
          <w:kern w:val="0"/>
          <w:sz w:val="32"/>
          <w:szCs w:val="32"/>
          <w:lang w:val="zh-CN"/>
        </w:rPr>
      </w:pPr>
      <w:r>
        <w:rPr>
          <w:rFonts w:hint="eastAsia" w:ascii="仿宋_GB2312" w:eastAsia="仿宋_GB2312" w:cs="宋体"/>
          <w:b/>
          <w:smallCaps/>
          <w:kern w:val="0"/>
          <w:sz w:val="32"/>
          <w:szCs w:val="32"/>
          <w:lang w:val="zh-CN"/>
        </w:rPr>
        <w:t>继续加强疫情常态化防控和支持乡村振兴工作。</w:t>
      </w:r>
      <w:r>
        <w:rPr>
          <w:rFonts w:hint="eastAsia" w:ascii="仿宋_GB2312" w:hAnsi="宋体" w:eastAsia="仿宋_GB2312" w:cs="宋体"/>
          <w:sz w:val="32"/>
          <w:szCs w:val="32"/>
        </w:rPr>
        <w:t>严格各项防疫举措，坚持外防输入不放松、内防反弹不懈怠，把好校园关口。科学应对“疫后综合征”。根据疫情发生的阶段性、区域性和时段性特征，及时、灵活调整防控策略，切实维护师生员工健康与安全。</w:t>
      </w:r>
      <w:r>
        <w:rPr>
          <w:rFonts w:hint="eastAsia" w:ascii="仿宋_GB2312" w:eastAsia="仿宋_GB2312" w:cs="宋体" w:hAnsiTheme="minorEastAsia"/>
          <w:kern w:val="0"/>
          <w:sz w:val="32"/>
          <w:szCs w:val="32"/>
        </w:rPr>
        <w:t>充分发挥学校在人才、科技等方面的优势，接续推进全面脱贫与乡村振兴有效衔接，科学设置学校乡村振兴有关机构，持续发挥学校在推动乡村振兴中的重要作用，继续打造合肥工业大学技师学院灵壁分院帮扶特色。</w:t>
      </w:r>
    </w:p>
    <w:sectPr>
      <w:footerReference r:id="rId3" w:type="default"/>
      <w:pgSz w:w="11906" w:h="16838"/>
      <w:pgMar w:top="1440" w:right="1531" w:bottom="1440"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11492970"/>
    </w:sdtPr>
    <w:sdtEndPr>
      <w:rPr>
        <w:sz w:val="24"/>
      </w:rPr>
    </w:sdtEndPr>
    <w:sdtContent>
      <w:p>
        <w:pPr>
          <w:pStyle w:val="5"/>
          <w:jc w:val="center"/>
          <w:rPr>
            <w:sz w:val="24"/>
          </w:rPr>
        </w:pPr>
        <w:r>
          <w:rPr>
            <w:sz w:val="24"/>
          </w:rPr>
          <w:fldChar w:fldCharType="begin"/>
        </w:r>
        <w:r>
          <w:rPr>
            <w:sz w:val="24"/>
          </w:rPr>
          <w:instrText xml:space="preserve">PAGE   \* MERGEFORMAT</w:instrText>
        </w:r>
        <w:r>
          <w:rPr>
            <w:sz w:val="24"/>
          </w:rPr>
          <w:fldChar w:fldCharType="separate"/>
        </w:r>
        <w:r>
          <w:rPr>
            <w:sz w:val="24"/>
            <w:lang w:val="zh-CN"/>
          </w:rPr>
          <w:t>11</w:t>
        </w:r>
        <w:r>
          <w:rPr>
            <w:sz w:val="24"/>
          </w:rPr>
          <w:fldChar w:fldCharType="end"/>
        </w:r>
      </w:p>
    </w:sdtContent>
  </w:sdt>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BB8832"/>
    <w:multiLevelType w:val="singleLevel"/>
    <w:tmpl w:val="B6BB8832"/>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IwNjViYzdjMjNhZDA5MTMzNTVhZjA2OGQxNjBlN2IifQ=="/>
  </w:docVars>
  <w:rsids>
    <w:rsidRoot w:val="1A9634B8"/>
    <w:rsid w:val="00000DDE"/>
    <w:rsid w:val="00013197"/>
    <w:rsid w:val="000515CE"/>
    <w:rsid w:val="000E18CF"/>
    <w:rsid w:val="00105010"/>
    <w:rsid w:val="001071FB"/>
    <w:rsid w:val="00155E53"/>
    <w:rsid w:val="001625B6"/>
    <w:rsid w:val="0018114A"/>
    <w:rsid w:val="00186D6E"/>
    <w:rsid w:val="001D3284"/>
    <w:rsid w:val="001E52D4"/>
    <w:rsid w:val="001F4956"/>
    <w:rsid w:val="002253E7"/>
    <w:rsid w:val="00277A1F"/>
    <w:rsid w:val="002830E4"/>
    <w:rsid w:val="0028736F"/>
    <w:rsid w:val="002955B9"/>
    <w:rsid w:val="002A7797"/>
    <w:rsid w:val="002B2775"/>
    <w:rsid w:val="002B55E2"/>
    <w:rsid w:val="002C33DF"/>
    <w:rsid w:val="002F0634"/>
    <w:rsid w:val="0030671B"/>
    <w:rsid w:val="00313017"/>
    <w:rsid w:val="00322B6D"/>
    <w:rsid w:val="00324125"/>
    <w:rsid w:val="003E7A2B"/>
    <w:rsid w:val="004405FC"/>
    <w:rsid w:val="0046443D"/>
    <w:rsid w:val="00476641"/>
    <w:rsid w:val="00494AB7"/>
    <w:rsid w:val="004B2579"/>
    <w:rsid w:val="004C1ED0"/>
    <w:rsid w:val="004C6E1D"/>
    <w:rsid w:val="00501063"/>
    <w:rsid w:val="005157D3"/>
    <w:rsid w:val="0051669E"/>
    <w:rsid w:val="005426AB"/>
    <w:rsid w:val="00587997"/>
    <w:rsid w:val="005B3EAE"/>
    <w:rsid w:val="005E5DFE"/>
    <w:rsid w:val="005E6D23"/>
    <w:rsid w:val="0060367F"/>
    <w:rsid w:val="006346EC"/>
    <w:rsid w:val="006368DF"/>
    <w:rsid w:val="00643C64"/>
    <w:rsid w:val="00690EA2"/>
    <w:rsid w:val="00692F76"/>
    <w:rsid w:val="006E26F5"/>
    <w:rsid w:val="00707478"/>
    <w:rsid w:val="00733B55"/>
    <w:rsid w:val="00747798"/>
    <w:rsid w:val="0075711E"/>
    <w:rsid w:val="007606AE"/>
    <w:rsid w:val="007756BB"/>
    <w:rsid w:val="007E37D4"/>
    <w:rsid w:val="007E55C6"/>
    <w:rsid w:val="00815E13"/>
    <w:rsid w:val="008313BE"/>
    <w:rsid w:val="00865FD5"/>
    <w:rsid w:val="00875148"/>
    <w:rsid w:val="0089047B"/>
    <w:rsid w:val="008A1C64"/>
    <w:rsid w:val="008E3A0E"/>
    <w:rsid w:val="008E6987"/>
    <w:rsid w:val="008F2180"/>
    <w:rsid w:val="009110F1"/>
    <w:rsid w:val="00932953"/>
    <w:rsid w:val="00937161"/>
    <w:rsid w:val="0094664B"/>
    <w:rsid w:val="00962D47"/>
    <w:rsid w:val="0098333D"/>
    <w:rsid w:val="00995A04"/>
    <w:rsid w:val="009F101B"/>
    <w:rsid w:val="00A0698B"/>
    <w:rsid w:val="00A15AE0"/>
    <w:rsid w:val="00A3470F"/>
    <w:rsid w:val="00A41BE3"/>
    <w:rsid w:val="00A958B4"/>
    <w:rsid w:val="00AD07F9"/>
    <w:rsid w:val="00B02004"/>
    <w:rsid w:val="00B42943"/>
    <w:rsid w:val="00B53BC2"/>
    <w:rsid w:val="00BA100C"/>
    <w:rsid w:val="00BA4194"/>
    <w:rsid w:val="00BD50FD"/>
    <w:rsid w:val="00BE2F45"/>
    <w:rsid w:val="00BF4674"/>
    <w:rsid w:val="00C11406"/>
    <w:rsid w:val="00C37B62"/>
    <w:rsid w:val="00C64D04"/>
    <w:rsid w:val="00C8687A"/>
    <w:rsid w:val="00C959B8"/>
    <w:rsid w:val="00CA706D"/>
    <w:rsid w:val="00CB7969"/>
    <w:rsid w:val="00CF0AA2"/>
    <w:rsid w:val="00D03908"/>
    <w:rsid w:val="00D561BE"/>
    <w:rsid w:val="00D60922"/>
    <w:rsid w:val="00DC3EE2"/>
    <w:rsid w:val="00DE2C81"/>
    <w:rsid w:val="00DF15C3"/>
    <w:rsid w:val="00E1797E"/>
    <w:rsid w:val="00E32BB8"/>
    <w:rsid w:val="00E52793"/>
    <w:rsid w:val="00ED6A85"/>
    <w:rsid w:val="00F013C6"/>
    <w:rsid w:val="00F34AA0"/>
    <w:rsid w:val="00F4796A"/>
    <w:rsid w:val="00F5746C"/>
    <w:rsid w:val="00F6690C"/>
    <w:rsid w:val="00FA747B"/>
    <w:rsid w:val="00FC665C"/>
    <w:rsid w:val="02E955CF"/>
    <w:rsid w:val="036D160D"/>
    <w:rsid w:val="03D03B93"/>
    <w:rsid w:val="08A20C45"/>
    <w:rsid w:val="08B74F04"/>
    <w:rsid w:val="08D128A0"/>
    <w:rsid w:val="0B8859BB"/>
    <w:rsid w:val="127B0744"/>
    <w:rsid w:val="1A435F40"/>
    <w:rsid w:val="1A9634B8"/>
    <w:rsid w:val="1C271C16"/>
    <w:rsid w:val="1D3D474B"/>
    <w:rsid w:val="1D6F5779"/>
    <w:rsid w:val="20473803"/>
    <w:rsid w:val="22391425"/>
    <w:rsid w:val="23875BE3"/>
    <w:rsid w:val="24D61E40"/>
    <w:rsid w:val="25F54B50"/>
    <w:rsid w:val="26A433FD"/>
    <w:rsid w:val="27AC52BC"/>
    <w:rsid w:val="27F55E32"/>
    <w:rsid w:val="29C838ED"/>
    <w:rsid w:val="2BA623FB"/>
    <w:rsid w:val="2D332006"/>
    <w:rsid w:val="2DDB235F"/>
    <w:rsid w:val="3440291B"/>
    <w:rsid w:val="35193FD8"/>
    <w:rsid w:val="35750F62"/>
    <w:rsid w:val="3894689C"/>
    <w:rsid w:val="3C6D673C"/>
    <w:rsid w:val="4108455D"/>
    <w:rsid w:val="41624618"/>
    <w:rsid w:val="46FE66D2"/>
    <w:rsid w:val="473F2AD2"/>
    <w:rsid w:val="4A485033"/>
    <w:rsid w:val="4BB94D33"/>
    <w:rsid w:val="514476CE"/>
    <w:rsid w:val="57810CBD"/>
    <w:rsid w:val="5AC81366"/>
    <w:rsid w:val="5BA06CAC"/>
    <w:rsid w:val="5C7F2A28"/>
    <w:rsid w:val="5C8A0848"/>
    <w:rsid w:val="60640E7B"/>
    <w:rsid w:val="6F1C69E0"/>
    <w:rsid w:val="6FCF56A0"/>
    <w:rsid w:val="71751958"/>
    <w:rsid w:val="745B6E06"/>
    <w:rsid w:val="7A4E1E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rFonts w:eastAsia="宋体"/>
      <w:kern w:val="44"/>
      <w:sz w:val="32"/>
      <w:szCs w:val="22"/>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alloon Text"/>
    <w:basedOn w:val="1"/>
    <w:link w:val="12"/>
    <w:uiPriority w:val="0"/>
    <w:rPr>
      <w:sz w:val="18"/>
      <w:szCs w:val="18"/>
    </w:rPr>
  </w:style>
  <w:style w:type="paragraph" w:styleId="5">
    <w:name w:val="footer"/>
    <w:basedOn w:val="1"/>
    <w:link w:val="11"/>
    <w:qFormat/>
    <w:uiPriority w:val="99"/>
    <w:pPr>
      <w:tabs>
        <w:tab w:val="center" w:pos="4153"/>
        <w:tab w:val="right" w:pos="8306"/>
      </w:tabs>
      <w:snapToGrid w:val="0"/>
      <w:jc w:val="left"/>
    </w:pPr>
    <w:rPr>
      <w:sz w:val="18"/>
      <w:szCs w:val="18"/>
    </w:rPr>
  </w:style>
  <w:style w:type="paragraph" w:styleId="6">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character" w:customStyle="1" w:styleId="9">
    <w:name w:val="不明显参考11"/>
    <w:basedOn w:val="8"/>
    <w:qFormat/>
    <w:uiPriority w:val="99"/>
    <w:rPr>
      <w:smallCaps/>
      <w:color w:val="auto"/>
      <w:u w:val="single"/>
    </w:rPr>
  </w:style>
  <w:style w:type="character" w:customStyle="1" w:styleId="10">
    <w:name w:val="页眉 Char"/>
    <w:basedOn w:val="8"/>
    <w:link w:val="6"/>
    <w:qFormat/>
    <w:uiPriority w:val="0"/>
    <w:rPr>
      <w:rFonts w:asciiTheme="minorHAnsi" w:hAnsiTheme="minorHAnsi" w:eastAsiaTheme="minorEastAsia" w:cstheme="minorBidi"/>
      <w:kern w:val="2"/>
      <w:sz w:val="18"/>
      <w:szCs w:val="18"/>
    </w:rPr>
  </w:style>
  <w:style w:type="character" w:customStyle="1" w:styleId="11">
    <w:name w:val="页脚 Char"/>
    <w:basedOn w:val="8"/>
    <w:link w:val="5"/>
    <w:qFormat/>
    <w:uiPriority w:val="99"/>
    <w:rPr>
      <w:rFonts w:asciiTheme="minorHAnsi" w:hAnsiTheme="minorHAnsi" w:eastAsiaTheme="minorEastAsia" w:cstheme="minorBidi"/>
      <w:kern w:val="2"/>
      <w:sz w:val="18"/>
      <w:szCs w:val="18"/>
    </w:rPr>
  </w:style>
  <w:style w:type="character" w:customStyle="1" w:styleId="12">
    <w:name w:val="批注框文本 Char"/>
    <w:basedOn w:val="8"/>
    <w:link w:val="4"/>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1618</Words>
  <Characters>9225</Characters>
  <Lines>76</Lines>
  <Paragraphs>21</Paragraphs>
  <TotalTime>16</TotalTime>
  <ScaleCrop>false</ScaleCrop>
  <LinksUpToDate>false</LinksUpToDate>
  <CharactersWithSpaces>10822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2021-03-09T09:38:00Z</dcterms:created>
  <dc:creator>小文子</dc:creator>
  <cp:lastModifiedBy>若小安</cp:lastModifiedBy>
  <dcterms:modified xsi:type="dcterms:W3CDTF">2023-09-05T07:47:39Z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E283C7DAF7224E70BF99A9E684D38CE7_13</vt:lpwstr>
  </property>
</Properties>
</file>